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6DD" w:rsidRDefault="00D746DD" w:rsidP="005C3F60">
      <w:pPr>
        <w:spacing w:after="0" w:line="240" w:lineRule="auto"/>
        <w:ind w:left="720" w:right="283"/>
        <w:jc w:val="both"/>
        <w:rPr>
          <w:rFonts w:ascii="Marianne" w:eastAsia="Times New Roman" w:hAnsi="Marianne" w:cs="Arial"/>
          <w:color w:val="1F4E79" w:themeColor="accent1" w:themeShade="80"/>
          <w:sz w:val="20"/>
          <w:szCs w:val="20"/>
          <w:u w:val="single"/>
          <w:lang w:eastAsia="fr-FR"/>
        </w:rPr>
      </w:pPr>
    </w:p>
    <w:p w:rsidR="00C82084" w:rsidRDefault="00C82084" w:rsidP="00C82084">
      <w:pPr>
        <w:spacing w:after="160" w:line="240" w:lineRule="auto"/>
        <w:jc w:val="center"/>
        <w:rPr>
          <w:rFonts w:ascii="Marianne" w:eastAsiaTheme="minorHAnsi" w:hAnsi="Marianne" w:cs="Arial"/>
          <w:b/>
          <w:sz w:val="20"/>
          <w:szCs w:val="20"/>
        </w:rPr>
      </w:pPr>
      <w:r w:rsidRPr="00C82084">
        <w:rPr>
          <w:rFonts w:ascii="Marianne" w:eastAsiaTheme="minorHAnsi" w:hAnsi="Marianne" w:cs="Arial"/>
          <w:b/>
          <w:sz w:val="20"/>
          <w:szCs w:val="20"/>
          <w:u w:val="single"/>
        </w:rPr>
        <w:t xml:space="preserve">ANNEXE </w:t>
      </w:r>
      <w:r w:rsidR="00F21EDB">
        <w:rPr>
          <w:rFonts w:ascii="Marianne" w:eastAsiaTheme="minorHAnsi" w:hAnsi="Marianne" w:cs="Arial"/>
          <w:b/>
          <w:sz w:val="20"/>
          <w:szCs w:val="20"/>
          <w:u w:val="single"/>
        </w:rPr>
        <w:t>4</w:t>
      </w:r>
      <w:r w:rsidRPr="00C82084">
        <w:rPr>
          <w:rFonts w:ascii="Marianne" w:eastAsiaTheme="minorHAnsi" w:hAnsi="Marianne" w:cs="Arial"/>
          <w:b/>
          <w:sz w:val="20"/>
          <w:szCs w:val="20"/>
          <w:u w:val="single"/>
        </w:rPr>
        <w:t xml:space="preserve"> - </w:t>
      </w:r>
      <w:r w:rsidR="00F21EDB" w:rsidRPr="00F21EDB">
        <w:rPr>
          <w:rFonts w:ascii="Marianne" w:eastAsiaTheme="minorHAnsi" w:hAnsi="Marianne" w:cs="Arial"/>
          <w:b/>
          <w:sz w:val="20"/>
          <w:szCs w:val="20"/>
          <w:u w:val="single"/>
        </w:rPr>
        <w:t xml:space="preserve">A titre indicatif, liste non exhaustive des acteurs </w:t>
      </w:r>
      <w:proofErr w:type="gramStart"/>
      <w:r w:rsidR="00F21EDB" w:rsidRPr="00F21EDB">
        <w:rPr>
          <w:rFonts w:ascii="Marianne" w:eastAsiaTheme="minorHAnsi" w:hAnsi="Marianne" w:cs="Arial"/>
          <w:b/>
          <w:sz w:val="20"/>
          <w:szCs w:val="20"/>
          <w:u w:val="single"/>
        </w:rPr>
        <w:t>du territoire mobilisables</w:t>
      </w:r>
      <w:proofErr w:type="gramEnd"/>
    </w:p>
    <w:p w:rsidR="00C82084" w:rsidRDefault="00C82084" w:rsidP="00C82084">
      <w:pPr>
        <w:spacing w:after="160" w:line="240" w:lineRule="auto"/>
        <w:jc w:val="center"/>
        <w:rPr>
          <w:rFonts w:ascii="Marianne" w:eastAsiaTheme="minorHAnsi" w:hAnsi="Marianne" w:cs="Arial"/>
          <w:b/>
          <w:sz w:val="20"/>
          <w:szCs w:val="20"/>
        </w:rPr>
      </w:pPr>
      <w:r w:rsidRPr="00C82084">
        <w:rPr>
          <w:rFonts w:ascii="Marianne" w:eastAsiaTheme="minorHAnsi" w:hAnsi="Marianne" w:cs="Arial"/>
          <w:b/>
          <w:sz w:val="20"/>
          <w:szCs w:val="20"/>
        </w:rPr>
        <w:t>AAC – Création d’un dispositif d’accompagnement à la périnatalité et à la parentalité des personnes en situation de handicap « Cap parents » en région Hauts-de-</w:t>
      </w:r>
      <w:r>
        <w:rPr>
          <w:rFonts w:ascii="Marianne" w:eastAsiaTheme="minorHAnsi" w:hAnsi="Marianne" w:cs="Arial"/>
          <w:b/>
          <w:sz w:val="20"/>
          <w:szCs w:val="20"/>
        </w:rPr>
        <w:t>France</w:t>
      </w:r>
    </w:p>
    <w:p w:rsidR="00C82084" w:rsidRDefault="00C82084" w:rsidP="00C82084">
      <w:pPr>
        <w:spacing w:after="160" w:line="240" w:lineRule="auto"/>
        <w:jc w:val="center"/>
        <w:rPr>
          <w:rFonts w:ascii="Marianne" w:eastAsiaTheme="minorHAnsi" w:hAnsi="Marianne" w:cs="Arial"/>
          <w:b/>
          <w:sz w:val="20"/>
          <w:szCs w:val="20"/>
          <w:u w:val="single"/>
        </w:rPr>
      </w:pP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professionnels de santé libéraux de proximité notamment via les formes d’exercice regroupé (communauté professionnelle territoriale de santé, maison de santé </w:t>
      </w:r>
      <w:proofErr w:type="spellStart"/>
      <w:r w:rsidRPr="00F21EDB">
        <w:rPr>
          <w:rFonts w:ascii="Marianne" w:eastAsiaTheme="minorHAnsi" w:hAnsi="Marianne" w:cs="Arial"/>
          <w:sz w:val="20"/>
          <w:szCs w:val="20"/>
        </w:rPr>
        <w:t>pluriprofessionnelle</w:t>
      </w:r>
      <w:proofErr w:type="spellEnd"/>
      <w:r w:rsidRPr="00F21EDB">
        <w:rPr>
          <w:rFonts w:ascii="Marianne" w:eastAsiaTheme="minorHAnsi" w:hAnsi="Marianne" w:cs="Arial"/>
          <w:sz w:val="20"/>
          <w:szCs w:val="20"/>
        </w:rPr>
        <w:t xml:space="preserve">, etc.),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La protection maternelle et infantile (PMI),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L’aide sociale à l’enfance (ASE),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La protection judiciaire de la jeunesse (PJJ),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 réseau de la petite enfance et du handicap,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centres pénitentiaires,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 secteur de la pédiatrie (professionnels libéraux et hospitaliers),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réseaux d’écoute, d’appui et d’accompagnement des parents (REAPP),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lieux d’accueil enfant-parent (LAEP),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centres périnataux de proximité,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établissements d’accueil de jeunes enfants (EAJE),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assistantes maternelles,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foyers mère enfant,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réseaux de sages-femmes et de gynécologues en libéral,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>Les réseaux de santé mentale (Maison des ados, Centre</w:t>
      </w:r>
      <w:r w:rsidRPr="00F21EDB">
        <w:rPr>
          <w:rFonts w:ascii="Marianne" w:eastAsiaTheme="minorHAnsi" w:hAnsi="Marianne" w:cs="Arial"/>
          <w:sz w:val="20"/>
          <w:szCs w:val="20"/>
        </w:rPr>
        <w:t xml:space="preserve"> médico-psycho-pédagogique),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 planning familial,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réseaux de santé en périnatalité, 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Lecteur social,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L’éducation nationale (établissements scolaires et centres de formation),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caisses d’allocation familiale (CAF),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maisons départementales des personnes handicapées (MDPH),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conseils départementaux de la citoyenneté et de l’autonomie (CDCA),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 pôle ressource handicap de la CAF,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 référent parcours périnatalité,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dispositifs médico-sociaux et notamment les SAMSAH, SAVS, les services d’accompagnement et d’aide à domicile (SAAD et SAAD famille),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dispositifs d’appui à la coordination (DAC) et/ou toute autre forme de dispositif spécifique agissant dans le domaine de la coordination/assistance aux parcours de vie des personnes en situation de handicap,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établissements de la santé mentale porteuse notamment d’une unité de psychiatrie périnatale, 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centres spécialisés d’accès aux soins somatiques et les dispositifs de consultations dédiées,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centres ressources régionaux à la vie intime, affective et sexuelle et soutien à la parentalité,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 xml:space="preserve">Les centres de rééducation, </w:t>
      </w:r>
    </w:p>
    <w:p w:rsid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r w:rsidRPr="00F21EDB">
        <w:rPr>
          <w:rFonts w:ascii="Marianne" w:eastAsiaTheme="minorHAnsi" w:hAnsi="Marianne" w:cs="Arial"/>
          <w:sz w:val="20"/>
          <w:szCs w:val="20"/>
        </w:rPr>
        <w:t>Les ergothérapeutes (notamment pour l’adaptation de matériel ou pour trouver des solutions de portag</w:t>
      </w:r>
      <w:r>
        <w:rPr>
          <w:rFonts w:ascii="Marianne" w:eastAsiaTheme="minorHAnsi" w:hAnsi="Marianne" w:cs="Arial"/>
          <w:sz w:val="20"/>
          <w:szCs w:val="20"/>
        </w:rPr>
        <w:t xml:space="preserve">e et transport des enfants…) </w:t>
      </w:r>
    </w:p>
    <w:p w:rsidR="00F21EDB" w:rsidRPr="00F21EDB" w:rsidRDefault="00F21EDB" w:rsidP="00F21EDB">
      <w:pPr>
        <w:pStyle w:val="Paragraphedeliste"/>
        <w:numPr>
          <w:ilvl w:val="0"/>
          <w:numId w:val="5"/>
        </w:num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  <w:bookmarkStart w:id="0" w:name="_GoBack"/>
      <w:bookmarkEnd w:id="0"/>
      <w:r w:rsidRPr="00F21EDB">
        <w:rPr>
          <w:rFonts w:ascii="Marianne" w:eastAsiaTheme="minorHAnsi" w:hAnsi="Marianne" w:cs="Arial"/>
          <w:sz w:val="20"/>
          <w:szCs w:val="20"/>
        </w:rPr>
        <w:t xml:space="preserve">Etc. </w:t>
      </w:r>
    </w:p>
    <w:p w:rsidR="003C1B24" w:rsidRPr="00F21EDB" w:rsidRDefault="003C1B24" w:rsidP="00F21EDB">
      <w:pPr>
        <w:spacing w:after="160" w:line="240" w:lineRule="auto"/>
        <w:jc w:val="both"/>
        <w:rPr>
          <w:rFonts w:ascii="Marianne" w:eastAsiaTheme="minorHAnsi" w:hAnsi="Marianne" w:cs="Arial"/>
          <w:sz w:val="20"/>
          <w:szCs w:val="20"/>
        </w:rPr>
      </w:pPr>
    </w:p>
    <w:sectPr w:rsidR="003C1B24" w:rsidRPr="00F21EDB" w:rsidSect="00C82084">
      <w:headerReference w:type="default" r:id="rId8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66" w:rsidRDefault="003B3A66" w:rsidP="003C1B24">
      <w:pPr>
        <w:spacing w:after="0" w:line="240" w:lineRule="auto"/>
      </w:pPr>
      <w:r>
        <w:separator/>
      </w:r>
    </w:p>
  </w:endnote>
  <w:endnote w:type="continuationSeparator" w:id="0">
    <w:p w:rsidR="003B3A66" w:rsidRDefault="003B3A66" w:rsidP="003C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Arial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66" w:rsidRDefault="003B3A66" w:rsidP="003C1B24">
      <w:pPr>
        <w:spacing w:after="0" w:line="240" w:lineRule="auto"/>
      </w:pPr>
      <w:r>
        <w:separator/>
      </w:r>
    </w:p>
  </w:footnote>
  <w:footnote w:type="continuationSeparator" w:id="0">
    <w:p w:rsidR="003B3A66" w:rsidRDefault="003B3A66" w:rsidP="003C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24" w:rsidRDefault="003C1B24" w:rsidP="00C82084">
    <w:pPr>
      <w:pStyle w:val="En-tte"/>
      <w:jc w:val="center"/>
    </w:pPr>
    <w:r w:rsidRPr="003C037C">
      <w:rPr>
        <w:rFonts w:ascii="Tahoma" w:eastAsia="Times New Roman" w:hAnsi="Tahoma" w:cs="Tahoma"/>
        <w:noProof/>
        <w:spacing w:val="4"/>
        <w:sz w:val="16"/>
        <w:szCs w:val="16"/>
        <w:lang w:eastAsia="fr-FR"/>
      </w:rPr>
      <w:drawing>
        <wp:inline distT="0" distB="0" distL="0" distR="0" wp14:anchorId="4EB68F6E" wp14:editId="4CA94DBF">
          <wp:extent cx="5760720" cy="868045"/>
          <wp:effectExtent l="0" t="0" r="0" b="825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D58"/>
    <w:multiLevelType w:val="hybridMultilevel"/>
    <w:tmpl w:val="23469228"/>
    <w:lvl w:ilvl="0" w:tplc="87229B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E26"/>
    <w:multiLevelType w:val="hybridMultilevel"/>
    <w:tmpl w:val="1700CC6C"/>
    <w:lvl w:ilvl="0" w:tplc="87229B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13"/>
    <w:multiLevelType w:val="hybridMultilevel"/>
    <w:tmpl w:val="1B76081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CD"/>
    <w:multiLevelType w:val="hybridMultilevel"/>
    <w:tmpl w:val="3DF8D68C"/>
    <w:lvl w:ilvl="0" w:tplc="87229B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32050"/>
    <w:multiLevelType w:val="hybridMultilevel"/>
    <w:tmpl w:val="B456C554"/>
    <w:lvl w:ilvl="0" w:tplc="87229B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60"/>
    <w:rsid w:val="003B3A66"/>
    <w:rsid w:val="003C037C"/>
    <w:rsid w:val="003C1B24"/>
    <w:rsid w:val="00422920"/>
    <w:rsid w:val="004E69C2"/>
    <w:rsid w:val="005C3F60"/>
    <w:rsid w:val="005D2301"/>
    <w:rsid w:val="00755C87"/>
    <w:rsid w:val="008C3488"/>
    <w:rsid w:val="008D159E"/>
    <w:rsid w:val="009016DF"/>
    <w:rsid w:val="00A21A08"/>
    <w:rsid w:val="00C82084"/>
    <w:rsid w:val="00D746DD"/>
    <w:rsid w:val="00E56A50"/>
    <w:rsid w:val="00EF5B06"/>
    <w:rsid w:val="00F2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A8E2C"/>
  <w15:chartTrackingRefBased/>
  <w15:docId w15:val="{C8402E5B-7A07-47BC-A9D8-4D940191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F60"/>
    <w:pPr>
      <w:spacing w:after="200" w:line="252" w:lineRule="auto"/>
    </w:pPr>
    <w:rPr>
      <w:rFonts w:asciiTheme="majorHAnsi" w:eastAsiaTheme="majorEastAsia" w:hAnsiTheme="majorHAnsi" w:cstheme="majorBidi"/>
    </w:rPr>
  </w:style>
  <w:style w:type="paragraph" w:styleId="Titre2">
    <w:name w:val="heading 2"/>
    <w:next w:val="Normal"/>
    <w:link w:val="Titre2Car"/>
    <w:uiPriority w:val="9"/>
    <w:unhideWhenUsed/>
    <w:qFormat/>
    <w:rsid w:val="00755C87"/>
    <w:pPr>
      <w:keepNext/>
      <w:keepLines/>
      <w:spacing w:after="99"/>
      <w:ind w:left="312" w:hanging="10"/>
      <w:outlineLvl w:val="1"/>
    </w:pPr>
    <w:rPr>
      <w:rFonts w:ascii="Arial" w:eastAsia="Arial" w:hAnsi="Arial" w:cs="Arial"/>
      <w:b/>
      <w:color w:val="231F20"/>
      <w:u w:val="single" w:color="231F20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E69C2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Sansinterligne">
    <w:name w:val="No Spacing"/>
    <w:uiPriority w:val="1"/>
    <w:qFormat/>
    <w:rsid w:val="003C037C"/>
    <w:pPr>
      <w:spacing w:after="0" w:line="240" w:lineRule="auto"/>
    </w:pPr>
    <w:rPr>
      <w:rFonts w:asciiTheme="majorHAnsi" w:eastAsiaTheme="majorEastAsia" w:hAnsiTheme="majorHAnsi" w:cstheme="majorBidi"/>
    </w:rPr>
  </w:style>
  <w:style w:type="table" w:styleId="Grilledutableau">
    <w:name w:val="Table Grid"/>
    <w:basedOn w:val="TableauNormal"/>
    <w:uiPriority w:val="39"/>
    <w:rsid w:val="003C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C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B24"/>
    <w:rPr>
      <w:rFonts w:asciiTheme="majorHAnsi" w:eastAsiaTheme="majorEastAsia" w:hAnsiTheme="majorHAnsi" w:cstheme="majorBidi"/>
    </w:rPr>
  </w:style>
  <w:style w:type="paragraph" w:styleId="Pieddepage">
    <w:name w:val="footer"/>
    <w:basedOn w:val="Normal"/>
    <w:link w:val="PieddepageCar"/>
    <w:uiPriority w:val="99"/>
    <w:unhideWhenUsed/>
    <w:rsid w:val="003C1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B24"/>
    <w:rPr>
      <w:rFonts w:asciiTheme="majorHAnsi" w:eastAsiaTheme="majorEastAsia" w:hAnsiTheme="majorHAnsi" w:cstheme="majorBidi"/>
    </w:rPr>
  </w:style>
  <w:style w:type="paragraph" w:customStyle="1" w:styleId="TableParagraph">
    <w:name w:val="Table Paragraph"/>
    <w:basedOn w:val="Normal"/>
    <w:uiPriority w:val="1"/>
    <w:qFormat/>
    <w:rsid w:val="00EF5B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itre2Car">
    <w:name w:val="Titre 2 Car"/>
    <w:basedOn w:val="Policepardfaut"/>
    <w:link w:val="Titre2"/>
    <w:uiPriority w:val="9"/>
    <w:rsid w:val="00755C87"/>
    <w:rPr>
      <w:rFonts w:ascii="Arial" w:eastAsia="Arial" w:hAnsi="Arial" w:cs="Arial"/>
      <w:b/>
      <w:color w:val="231F20"/>
      <w:u w:val="single" w:color="231F20"/>
      <w:lang w:val="de-DE" w:eastAsia="de-DE"/>
    </w:rPr>
  </w:style>
  <w:style w:type="table" w:customStyle="1" w:styleId="TableGrid">
    <w:name w:val="TableGrid"/>
    <w:rsid w:val="00755C87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8208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2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596B-3A82-4720-93A5-90E00D3E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MELCHIORRE, Thomas (ARS-HDF)</dc:creator>
  <cp:keywords/>
  <dc:description/>
  <cp:lastModifiedBy>BAUDUIN, Ophélie (ARS-HDF)</cp:lastModifiedBy>
  <cp:revision>7</cp:revision>
  <dcterms:created xsi:type="dcterms:W3CDTF">2024-02-22T16:20:00Z</dcterms:created>
  <dcterms:modified xsi:type="dcterms:W3CDTF">2024-08-09T05:47:00Z</dcterms:modified>
</cp:coreProperties>
</file>