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8A" w:rsidRPr="00305EBB" w:rsidRDefault="00EC5093" w:rsidP="00120518">
      <w:pPr>
        <w:rPr>
          <w:rFonts w:ascii="Marianne" w:hAnsi="Marianne"/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379730</wp:posOffset>
            </wp:positionV>
            <wp:extent cx="5425440" cy="81724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C37" w:rsidRDefault="00B13C37" w:rsidP="00085216">
      <w:pPr>
        <w:jc w:val="center"/>
        <w:rPr>
          <w:rFonts w:ascii="Marianne" w:hAnsi="Marianne" w:cs="Arial"/>
          <w:b/>
          <w:szCs w:val="28"/>
        </w:rPr>
      </w:pPr>
    </w:p>
    <w:p w:rsidR="00DF65EE" w:rsidRPr="00305EBB" w:rsidRDefault="00085216" w:rsidP="00085216">
      <w:pPr>
        <w:jc w:val="center"/>
        <w:rPr>
          <w:rFonts w:ascii="Marianne" w:hAnsi="Marianne" w:cs="Arial"/>
          <w:b/>
          <w:szCs w:val="28"/>
        </w:rPr>
      </w:pPr>
      <w:r w:rsidRPr="00305EBB">
        <w:rPr>
          <w:rFonts w:ascii="Marianne" w:hAnsi="Marianne" w:cs="Arial"/>
          <w:b/>
          <w:szCs w:val="28"/>
        </w:rPr>
        <w:t>FOIRE AUX QUESTIONS (FAQ)</w:t>
      </w:r>
    </w:p>
    <w:p w:rsidR="00085216" w:rsidRPr="00305EBB" w:rsidRDefault="00085216" w:rsidP="00085216">
      <w:pPr>
        <w:jc w:val="center"/>
        <w:rPr>
          <w:rFonts w:ascii="Marianne" w:hAnsi="Marianne" w:cs="Arial"/>
          <w:b/>
          <w:szCs w:val="28"/>
        </w:rPr>
      </w:pPr>
    </w:p>
    <w:p w:rsidR="005C0E30" w:rsidRDefault="005C0E30" w:rsidP="005C0E30">
      <w:pPr>
        <w:rPr>
          <w:rFonts w:ascii="Marianne" w:hAnsi="Marianne" w:cs="Arial"/>
          <w:b/>
          <w:szCs w:val="28"/>
        </w:rPr>
      </w:pPr>
    </w:p>
    <w:p w:rsidR="00644D0C" w:rsidRDefault="00644D0C" w:rsidP="00085216">
      <w:pPr>
        <w:jc w:val="center"/>
        <w:rPr>
          <w:rFonts w:ascii="Marianne" w:hAnsi="Marianne" w:cs="Arial"/>
          <w:b/>
          <w:szCs w:val="28"/>
        </w:rPr>
      </w:pPr>
      <w:r>
        <w:rPr>
          <w:rFonts w:ascii="Marianne" w:hAnsi="Marianne" w:cs="Arial"/>
          <w:b/>
          <w:szCs w:val="28"/>
        </w:rPr>
        <w:t>Foire aux questions (FAQ)</w:t>
      </w:r>
    </w:p>
    <w:p w:rsidR="00396E15" w:rsidRDefault="00396E15" w:rsidP="00085216">
      <w:pPr>
        <w:jc w:val="center"/>
        <w:rPr>
          <w:rFonts w:ascii="Marianne" w:hAnsi="Marianne" w:cs="Arial"/>
          <w:b/>
          <w:szCs w:val="28"/>
        </w:rPr>
      </w:pPr>
    </w:p>
    <w:p w:rsidR="00396E15" w:rsidRDefault="00396E15" w:rsidP="00085216">
      <w:pPr>
        <w:jc w:val="center"/>
        <w:rPr>
          <w:rFonts w:ascii="Marianne" w:hAnsi="Marianne" w:cs="Arial"/>
          <w:b/>
          <w:szCs w:val="28"/>
        </w:rPr>
      </w:pPr>
      <w:r>
        <w:rPr>
          <w:rFonts w:ascii="Marianne" w:hAnsi="Marianne" w:cs="Arial"/>
          <w:b/>
          <w:szCs w:val="28"/>
        </w:rPr>
        <w:t>Avis d’appel à manifestation d’intérêt</w:t>
      </w:r>
    </w:p>
    <w:p w:rsidR="00644D0C" w:rsidRPr="00901998" w:rsidRDefault="00644D0C" w:rsidP="00085216">
      <w:pPr>
        <w:jc w:val="center"/>
        <w:rPr>
          <w:rFonts w:ascii="Marianne" w:hAnsi="Marianne" w:cs="Arial"/>
          <w:b/>
          <w:sz w:val="10"/>
          <w:szCs w:val="10"/>
        </w:rPr>
      </w:pPr>
    </w:p>
    <w:p w:rsidR="00085216" w:rsidRDefault="00342710" w:rsidP="00085216">
      <w:pPr>
        <w:jc w:val="center"/>
        <w:rPr>
          <w:rFonts w:ascii="Marianne" w:hAnsi="Marianne" w:cs="Arial"/>
          <w:b/>
          <w:szCs w:val="28"/>
        </w:rPr>
      </w:pPr>
      <w:r w:rsidRPr="00305EBB">
        <w:rPr>
          <w:rFonts w:ascii="Marianne" w:hAnsi="Marianne" w:cs="Arial"/>
          <w:b/>
          <w:szCs w:val="28"/>
        </w:rPr>
        <w:t>Candidature</w:t>
      </w:r>
      <w:r w:rsidR="00943AA4" w:rsidRPr="00305EBB">
        <w:rPr>
          <w:rFonts w:ascii="Marianne" w:hAnsi="Marianne" w:cs="Arial"/>
          <w:b/>
          <w:szCs w:val="28"/>
        </w:rPr>
        <w:t xml:space="preserve"> pour </w:t>
      </w:r>
      <w:r w:rsidR="00305EBB" w:rsidRPr="00305EBB">
        <w:rPr>
          <w:rFonts w:ascii="Marianne" w:hAnsi="Marianne" w:cs="Arial"/>
          <w:b/>
          <w:szCs w:val="28"/>
        </w:rPr>
        <w:t xml:space="preserve">le déploiement de 18 </w:t>
      </w:r>
      <w:proofErr w:type="spellStart"/>
      <w:r w:rsidR="00305EBB" w:rsidRPr="00305EBB">
        <w:rPr>
          <w:rFonts w:ascii="Marianne" w:hAnsi="Marianne" w:cs="Arial"/>
          <w:b/>
          <w:szCs w:val="28"/>
        </w:rPr>
        <w:t>faciliteurs</w:t>
      </w:r>
      <w:proofErr w:type="spellEnd"/>
      <w:r w:rsidR="00305EBB" w:rsidRPr="00305EBB">
        <w:rPr>
          <w:rFonts w:ascii="Marianne" w:hAnsi="Marianne" w:cs="Arial"/>
          <w:b/>
          <w:szCs w:val="28"/>
        </w:rPr>
        <w:t xml:space="preserve"> de choix de vie au sein des 5 départements de la région Hauts-de-France</w:t>
      </w:r>
      <w:r w:rsidR="00707C71" w:rsidRPr="00305EBB">
        <w:rPr>
          <w:rFonts w:ascii="Marianne" w:hAnsi="Marianne" w:cs="Arial"/>
          <w:b/>
          <w:szCs w:val="28"/>
        </w:rPr>
        <w:t>.</w:t>
      </w:r>
    </w:p>
    <w:p w:rsidR="00085216" w:rsidRDefault="00085216" w:rsidP="00305EBB">
      <w:pPr>
        <w:jc w:val="both"/>
        <w:rPr>
          <w:rFonts w:ascii="Marianne" w:hAnsi="Marianne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026BA0" w:rsidTr="007D5586">
        <w:trPr>
          <w:trHeight w:val="591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:rsidR="00644D0C" w:rsidRPr="00712212" w:rsidRDefault="00644D0C" w:rsidP="00644D0C">
            <w:pPr>
              <w:jc w:val="center"/>
              <w:rPr>
                <w:rFonts w:ascii="Marianne" w:hAnsi="Marianne"/>
                <w:b/>
                <w:color w:val="FFFFFF" w:themeColor="background1"/>
                <w:sz w:val="20"/>
              </w:rPr>
            </w:pPr>
            <w:r w:rsidRPr="00712212">
              <w:rPr>
                <w:rFonts w:ascii="Marianne" w:hAnsi="Marianne"/>
                <w:b/>
                <w:color w:val="FFFFFF" w:themeColor="background1"/>
                <w:sz w:val="20"/>
              </w:rPr>
              <w:t>Questions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:rsidR="00644D0C" w:rsidRPr="00712212" w:rsidRDefault="00644D0C" w:rsidP="00644D0C">
            <w:pPr>
              <w:jc w:val="center"/>
              <w:rPr>
                <w:rFonts w:ascii="Marianne" w:hAnsi="Marianne"/>
                <w:b/>
                <w:color w:val="FFFFFF" w:themeColor="background1"/>
                <w:sz w:val="20"/>
              </w:rPr>
            </w:pPr>
            <w:r w:rsidRPr="00712212">
              <w:rPr>
                <w:rFonts w:ascii="Marianne" w:hAnsi="Marianne"/>
                <w:b/>
                <w:color w:val="FFFFFF" w:themeColor="background1"/>
                <w:sz w:val="20"/>
              </w:rPr>
              <w:t>Réponses</w:t>
            </w:r>
          </w:p>
        </w:tc>
      </w:tr>
      <w:tr w:rsidR="005C0E30" w:rsidTr="007D5586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6BA0" w:rsidRDefault="00026BA0" w:rsidP="00712212">
            <w:pPr>
              <w:jc w:val="both"/>
              <w:rPr>
                <w:rFonts w:ascii="Marianne" w:hAnsi="Marianne"/>
                <w:b/>
                <w:sz w:val="20"/>
                <w:u w:val="single"/>
              </w:rPr>
            </w:pPr>
          </w:p>
          <w:p w:rsidR="00026BA0" w:rsidRDefault="00026BA0" w:rsidP="00712212">
            <w:pPr>
              <w:jc w:val="both"/>
              <w:rPr>
                <w:rFonts w:ascii="Marianne" w:hAnsi="Marianne"/>
                <w:b/>
                <w:sz w:val="20"/>
              </w:rPr>
            </w:pPr>
            <w:r w:rsidRPr="00026BA0">
              <w:rPr>
                <w:rFonts w:ascii="Marianne" w:hAnsi="Marianne"/>
                <w:b/>
                <w:sz w:val="20"/>
                <w:u w:val="single"/>
              </w:rPr>
              <w:t>Question n°1</w:t>
            </w:r>
            <w:r>
              <w:rPr>
                <w:rFonts w:ascii="Marianne" w:hAnsi="Marianne"/>
                <w:b/>
                <w:sz w:val="20"/>
              </w:rPr>
              <w:t> :</w:t>
            </w:r>
          </w:p>
          <w:p w:rsidR="007D5586" w:rsidRPr="007D5586" w:rsidRDefault="007D5586" w:rsidP="00712212">
            <w:pPr>
              <w:jc w:val="both"/>
              <w:rPr>
                <w:rFonts w:ascii="Marianne" w:hAnsi="Marianne"/>
                <w:b/>
                <w:sz w:val="10"/>
                <w:szCs w:val="10"/>
              </w:rPr>
            </w:pPr>
          </w:p>
          <w:p w:rsidR="00644D0C" w:rsidRPr="005C0E30" w:rsidRDefault="00712212" w:rsidP="00712212">
            <w:pPr>
              <w:jc w:val="both"/>
              <w:rPr>
                <w:rFonts w:ascii="Marianne" w:hAnsi="Marianne"/>
                <w:b/>
                <w:sz w:val="20"/>
              </w:rPr>
            </w:pPr>
            <w:r w:rsidRPr="005C0E30">
              <w:rPr>
                <w:rFonts w:ascii="Marianne" w:hAnsi="Marianne"/>
                <w:b/>
                <w:sz w:val="20"/>
              </w:rPr>
              <w:t>P</w:t>
            </w:r>
            <w:r w:rsidR="009E4AA6">
              <w:rPr>
                <w:rFonts w:ascii="Marianne" w:hAnsi="Marianne"/>
                <w:b/>
                <w:sz w:val="20"/>
              </w:rPr>
              <w:t>our quelle durée seront financé</w:t>
            </w:r>
            <w:r w:rsidRPr="005C0E30">
              <w:rPr>
                <w:rFonts w:ascii="Marianne" w:hAnsi="Marianne"/>
                <w:b/>
                <w:sz w:val="20"/>
              </w:rPr>
              <w:t xml:space="preserve"> les </w:t>
            </w:r>
            <w:proofErr w:type="spellStart"/>
            <w:r w:rsidRPr="005C0E30">
              <w:rPr>
                <w:rFonts w:ascii="Marianne" w:hAnsi="Marianne"/>
                <w:b/>
                <w:sz w:val="20"/>
              </w:rPr>
              <w:t>faciliteurs</w:t>
            </w:r>
            <w:proofErr w:type="spellEnd"/>
            <w:r w:rsidRPr="005C0E30">
              <w:rPr>
                <w:rFonts w:ascii="Marianne" w:hAnsi="Marianne"/>
                <w:b/>
                <w:sz w:val="20"/>
              </w:rPr>
              <w:t xml:space="preserve"> de choix de vie ?</w:t>
            </w:r>
          </w:p>
          <w:p w:rsidR="00026BA0" w:rsidRPr="00026BA0" w:rsidRDefault="00026BA0" w:rsidP="00712212">
            <w:pPr>
              <w:jc w:val="both"/>
              <w:rPr>
                <w:rFonts w:ascii="Marianne" w:hAnsi="Marianne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2212" w:rsidRPr="00026BA0" w:rsidRDefault="00712212" w:rsidP="00712212">
            <w:pPr>
              <w:rPr>
                <w:rFonts w:ascii="Marianne" w:hAnsi="Marianne" w:cs="Calibri"/>
                <w:sz w:val="20"/>
                <w:szCs w:val="24"/>
              </w:rPr>
            </w:pPr>
            <w:r w:rsidRPr="00026BA0">
              <w:rPr>
                <w:rFonts w:ascii="Marianne" w:hAnsi="Marianne" w:cs="Calibri"/>
                <w:sz w:val="20"/>
                <w:szCs w:val="24"/>
              </w:rPr>
              <w:t xml:space="preserve">Les </w:t>
            </w:r>
            <w:proofErr w:type="spellStart"/>
            <w:r w:rsidRPr="00026BA0">
              <w:rPr>
                <w:rFonts w:ascii="Marianne" w:hAnsi="Marianne" w:cs="Calibri"/>
                <w:sz w:val="20"/>
                <w:szCs w:val="24"/>
              </w:rPr>
              <w:t>faciliteurs</w:t>
            </w:r>
            <w:proofErr w:type="spellEnd"/>
            <w:r w:rsidRPr="00026BA0">
              <w:rPr>
                <w:rFonts w:ascii="Marianne" w:hAnsi="Marianne" w:cs="Calibri"/>
                <w:sz w:val="20"/>
                <w:szCs w:val="24"/>
              </w:rPr>
              <w:t xml:space="preserve"> de choix de vie sont financés par des crédits pérennes (enveloppe ONDAM). Une convention ARS/porteur définira les modalités de mise en œuvre.</w:t>
            </w:r>
          </w:p>
          <w:p w:rsidR="00644D0C" w:rsidRPr="00712212" w:rsidRDefault="00644D0C" w:rsidP="00712212">
            <w:pPr>
              <w:rPr>
                <w:rFonts w:ascii="Marianne" w:hAnsi="Marianne"/>
                <w:b/>
                <w:sz w:val="20"/>
              </w:rPr>
            </w:pPr>
          </w:p>
        </w:tc>
      </w:tr>
      <w:tr w:rsidR="005C0E30" w:rsidTr="007D5586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6BA0" w:rsidRDefault="00026BA0" w:rsidP="00026BA0">
            <w:pPr>
              <w:rPr>
                <w:rFonts w:ascii="Marianne" w:hAnsi="Marianne" w:cs="Calibri"/>
                <w:b/>
                <w:iCs/>
                <w:sz w:val="20"/>
                <w:u w:val="single"/>
              </w:rPr>
            </w:pPr>
          </w:p>
          <w:p w:rsidR="00026BA0" w:rsidRDefault="00026BA0" w:rsidP="00026BA0">
            <w:pPr>
              <w:rPr>
                <w:rFonts w:ascii="Marianne" w:hAnsi="Marianne" w:cs="Calibri"/>
                <w:b/>
                <w:iCs/>
                <w:sz w:val="20"/>
              </w:rPr>
            </w:pPr>
            <w:r w:rsidRPr="00026BA0">
              <w:rPr>
                <w:rFonts w:ascii="Marianne" w:hAnsi="Marianne" w:cs="Calibri"/>
                <w:b/>
                <w:iCs/>
                <w:sz w:val="20"/>
                <w:u w:val="single"/>
              </w:rPr>
              <w:t>Question n°2</w:t>
            </w:r>
            <w:r>
              <w:rPr>
                <w:rFonts w:ascii="Marianne" w:hAnsi="Marianne" w:cs="Calibri"/>
                <w:b/>
                <w:iCs/>
                <w:sz w:val="20"/>
              </w:rPr>
              <w:t> :</w:t>
            </w:r>
          </w:p>
          <w:p w:rsidR="00026BA0" w:rsidRPr="007D5586" w:rsidRDefault="00026BA0" w:rsidP="00026BA0">
            <w:pPr>
              <w:rPr>
                <w:rFonts w:ascii="Marianne" w:hAnsi="Marianne" w:cs="Calibri"/>
                <w:b/>
                <w:iCs/>
                <w:sz w:val="10"/>
                <w:szCs w:val="10"/>
              </w:rPr>
            </w:pPr>
          </w:p>
          <w:p w:rsidR="00644D0C" w:rsidRDefault="005C0E30" w:rsidP="00712212">
            <w:pPr>
              <w:rPr>
                <w:rFonts w:ascii="Marianne" w:hAnsi="Marianne" w:cs="Calibri"/>
                <w:b/>
                <w:iCs/>
                <w:sz w:val="20"/>
              </w:rPr>
            </w:pPr>
            <w:r w:rsidRPr="005C0E30">
              <w:rPr>
                <w:rFonts w:ascii="Marianne" w:hAnsi="Marianne" w:cs="Calibri"/>
                <w:b/>
                <w:iCs/>
                <w:sz w:val="20"/>
              </w:rPr>
              <w:t>Le groupement de coopération médico-sociale se situe-t-il bien au niveau régional et uniquement dédié au dispositif d’appui à l’autodétermination sur le plan régional ?</w:t>
            </w:r>
          </w:p>
          <w:p w:rsidR="005C0E30" w:rsidRPr="00712212" w:rsidRDefault="005C0E30" w:rsidP="00712212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D0C" w:rsidRPr="007D5586" w:rsidRDefault="007D5586" w:rsidP="007D5586">
            <w:pPr>
              <w:rPr>
                <w:rFonts w:ascii="Marianne" w:hAnsi="Marianne"/>
                <w:sz w:val="20"/>
              </w:rPr>
            </w:pPr>
            <w:r w:rsidRPr="007D5586">
              <w:rPr>
                <w:rFonts w:ascii="Marianne" w:hAnsi="Marianne"/>
                <w:sz w:val="20"/>
              </w:rPr>
              <w:t xml:space="preserve">Le </w:t>
            </w:r>
            <w:r>
              <w:rPr>
                <w:rFonts w:ascii="Marianne" w:hAnsi="Marianne"/>
                <w:sz w:val="20"/>
              </w:rPr>
              <w:t>groupement de coopération médico-sociale</w:t>
            </w:r>
            <w:r w:rsidRPr="007D5586">
              <w:rPr>
                <w:rFonts w:ascii="Marianne" w:hAnsi="Marianne"/>
                <w:sz w:val="20"/>
              </w:rPr>
              <w:t xml:space="preserve"> se situera bien à une échelle régionale et sera dédié à la gouvernance, à l’animation (2 ETP de managers fonctionnels dédiés), ainsi qu’à l’appui-ressource du dispositif d’appui à l’autodétermination constitué des 18 </w:t>
            </w:r>
            <w:proofErr w:type="spellStart"/>
            <w:r w:rsidRPr="007D5586">
              <w:rPr>
                <w:rFonts w:ascii="Marianne" w:hAnsi="Marianne"/>
                <w:sz w:val="20"/>
              </w:rPr>
              <w:t>faciliteurs</w:t>
            </w:r>
            <w:proofErr w:type="spellEnd"/>
            <w:r w:rsidRPr="007D5586">
              <w:rPr>
                <w:rFonts w:ascii="Marianne" w:hAnsi="Marianne"/>
                <w:sz w:val="20"/>
              </w:rPr>
              <w:t xml:space="preserve"> de choix de vie.</w:t>
            </w:r>
          </w:p>
        </w:tc>
      </w:tr>
      <w:tr w:rsidR="005C0E30" w:rsidTr="007D5586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0E30" w:rsidRDefault="005C0E30" w:rsidP="00712212">
            <w:pPr>
              <w:numPr>
                <w:ilvl w:val="0"/>
                <w:numId w:val="22"/>
              </w:numPr>
              <w:ind w:left="0"/>
              <w:jc w:val="both"/>
              <w:rPr>
                <w:rFonts w:ascii="Marianne" w:hAnsi="Marianne" w:cs="Calibri"/>
                <w:b/>
                <w:iCs/>
                <w:sz w:val="20"/>
              </w:rPr>
            </w:pPr>
          </w:p>
          <w:p w:rsidR="00026BA0" w:rsidRDefault="00026BA0" w:rsidP="00712212">
            <w:pPr>
              <w:numPr>
                <w:ilvl w:val="0"/>
                <w:numId w:val="22"/>
              </w:numPr>
              <w:ind w:left="0"/>
              <w:jc w:val="both"/>
              <w:rPr>
                <w:rFonts w:ascii="Marianne" w:hAnsi="Marianne" w:cs="Calibri"/>
                <w:b/>
                <w:iCs/>
                <w:sz w:val="20"/>
              </w:rPr>
            </w:pPr>
            <w:r w:rsidRPr="005C0E30">
              <w:rPr>
                <w:rFonts w:ascii="Marianne" w:hAnsi="Marianne" w:cs="Calibri"/>
                <w:b/>
                <w:iCs/>
                <w:sz w:val="20"/>
                <w:u w:val="single"/>
              </w:rPr>
              <w:t>Question n°3</w:t>
            </w:r>
            <w:r>
              <w:rPr>
                <w:rFonts w:ascii="Marianne" w:hAnsi="Marianne" w:cs="Calibri"/>
                <w:b/>
                <w:iCs/>
                <w:sz w:val="20"/>
              </w:rPr>
              <w:t xml:space="preserve"> : </w:t>
            </w:r>
          </w:p>
          <w:p w:rsidR="00026BA0" w:rsidRPr="007D5586" w:rsidRDefault="00026BA0" w:rsidP="007D5586">
            <w:pPr>
              <w:jc w:val="both"/>
              <w:rPr>
                <w:rFonts w:ascii="Marianne" w:hAnsi="Marianne" w:cs="Calibri"/>
                <w:b/>
                <w:iCs/>
                <w:sz w:val="10"/>
                <w:szCs w:val="10"/>
              </w:rPr>
            </w:pPr>
          </w:p>
          <w:p w:rsidR="005C0E30" w:rsidRDefault="005C0E30" w:rsidP="005C0E30">
            <w:pPr>
              <w:numPr>
                <w:ilvl w:val="0"/>
                <w:numId w:val="22"/>
              </w:numPr>
              <w:ind w:left="0"/>
              <w:jc w:val="both"/>
              <w:rPr>
                <w:rFonts w:ascii="Marianne" w:hAnsi="Marianne" w:cs="Calibri"/>
                <w:b/>
                <w:iCs/>
                <w:sz w:val="20"/>
              </w:rPr>
            </w:pPr>
            <w:r w:rsidRPr="00C046D6">
              <w:rPr>
                <w:rFonts w:ascii="Marianne" w:hAnsi="Marianne" w:cs="Calibri"/>
                <w:b/>
                <w:iCs/>
                <w:sz w:val="20"/>
              </w:rPr>
              <w:t>Le groupement de coopération médico-sociale est-il uniquement composé des porteurs de projet (organismes gestionnaires des FPV) ou comporte-t-il d’autres membres, d’autres adhérents</w:t>
            </w:r>
            <w:r>
              <w:rPr>
                <w:rFonts w:ascii="Marianne" w:hAnsi="Marianne" w:cs="Calibri"/>
                <w:b/>
                <w:iCs/>
                <w:sz w:val="20"/>
              </w:rPr>
              <w:t xml:space="preserve"> </w:t>
            </w:r>
            <w:r w:rsidRPr="00C046D6">
              <w:rPr>
                <w:rFonts w:ascii="Marianne" w:hAnsi="Marianne" w:cs="Calibri"/>
                <w:b/>
                <w:iCs/>
                <w:sz w:val="20"/>
              </w:rPr>
              <w:t>(AR</w:t>
            </w:r>
            <w:r>
              <w:rPr>
                <w:rFonts w:ascii="Marianne" w:hAnsi="Marianne" w:cs="Calibri"/>
                <w:b/>
                <w:iCs/>
                <w:sz w:val="20"/>
              </w:rPr>
              <w:t>S ?)</w:t>
            </w:r>
            <w:r w:rsidRPr="00C046D6">
              <w:rPr>
                <w:rFonts w:ascii="Marianne" w:hAnsi="Marianne" w:cs="Calibri"/>
                <w:b/>
                <w:iCs/>
                <w:sz w:val="20"/>
              </w:rPr>
              <w:t xml:space="preserve"> ? </w:t>
            </w:r>
          </w:p>
          <w:p w:rsidR="00644D0C" w:rsidRPr="00712212" w:rsidRDefault="00644D0C" w:rsidP="00712212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D5586" w:rsidRDefault="007D5586" w:rsidP="007D5586">
            <w:pPr>
              <w:rPr>
                <w:rFonts w:ascii="Marianne" w:hAnsi="Marianne"/>
                <w:sz w:val="20"/>
              </w:rPr>
            </w:pPr>
          </w:p>
          <w:p w:rsidR="007D5586" w:rsidRPr="007D5586" w:rsidRDefault="007D5586" w:rsidP="0057187A">
            <w:pPr>
              <w:jc w:val="both"/>
              <w:rPr>
                <w:rFonts w:ascii="Marianne" w:hAnsi="Marianne"/>
                <w:sz w:val="20"/>
              </w:rPr>
            </w:pPr>
            <w:r w:rsidRPr="007D5586">
              <w:rPr>
                <w:rFonts w:ascii="Marianne" w:hAnsi="Marianne"/>
                <w:sz w:val="20"/>
              </w:rPr>
              <w:t>Conformément aux dispositions du cahier des charges, il est attendu des candidats retenus qu’ils s’engagent à former un groupement de coopération médico-sociale.</w:t>
            </w:r>
          </w:p>
          <w:p w:rsidR="007D5586" w:rsidRPr="007D5586" w:rsidRDefault="007D5586" w:rsidP="0057187A">
            <w:pPr>
              <w:jc w:val="both"/>
              <w:rPr>
                <w:rFonts w:ascii="Marianne" w:hAnsi="Marianne"/>
                <w:sz w:val="20"/>
              </w:rPr>
            </w:pPr>
          </w:p>
          <w:p w:rsidR="007D5586" w:rsidRPr="007D5586" w:rsidRDefault="007D5586" w:rsidP="0057187A">
            <w:pPr>
              <w:jc w:val="both"/>
              <w:rPr>
                <w:rFonts w:ascii="Marianne" w:hAnsi="Marianne"/>
                <w:sz w:val="20"/>
              </w:rPr>
            </w:pPr>
            <w:r w:rsidRPr="007D5586">
              <w:rPr>
                <w:rFonts w:ascii="Marianne" w:hAnsi="Marianne"/>
                <w:sz w:val="20"/>
              </w:rPr>
              <w:t xml:space="preserve">Une articulation avec le CREAI, à l’aune de la mission de déploiement d’une fonction-ressource régionale relative à la participation et </w:t>
            </w:r>
            <w:r w:rsidR="0057187A">
              <w:rPr>
                <w:rFonts w:ascii="Marianne" w:hAnsi="Marianne"/>
                <w:sz w:val="20"/>
              </w:rPr>
              <w:t xml:space="preserve">au développement </w:t>
            </w:r>
            <w:r w:rsidRPr="007D5586">
              <w:rPr>
                <w:rFonts w:ascii="Marianne" w:hAnsi="Marianne"/>
                <w:sz w:val="20"/>
              </w:rPr>
              <w:t>du pouvoir d’agir qui lui a été confiée, est attendue. Dans ce cadre, le CREAI pourrait devenir membre associé du groupement régional. A défaut, les modalités d’articulation entre le GCMS et le CREAI seront définies via une convention dédiée.</w:t>
            </w:r>
          </w:p>
          <w:p w:rsidR="007D5586" w:rsidRPr="007D5586" w:rsidRDefault="007D5586" w:rsidP="0057187A">
            <w:pPr>
              <w:jc w:val="both"/>
              <w:rPr>
                <w:rFonts w:ascii="Marianne" w:hAnsi="Marianne"/>
                <w:sz w:val="20"/>
              </w:rPr>
            </w:pPr>
          </w:p>
          <w:p w:rsidR="007D5586" w:rsidRPr="007D5586" w:rsidRDefault="007D5586" w:rsidP="0057187A">
            <w:pPr>
              <w:jc w:val="both"/>
              <w:rPr>
                <w:rFonts w:ascii="Marianne" w:hAnsi="Marianne"/>
                <w:sz w:val="20"/>
              </w:rPr>
            </w:pPr>
            <w:r w:rsidRPr="007D5586">
              <w:rPr>
                <w:rFonts w:ascii="Marianne" w:hAnsi="Marianne"/>
                <w:sz w:val="20"/>
              </w:rPr>
              <w:t>D’autres membres pourront rejoindre ce groupement ultérieurement (modalités à définir dans le cadre des statuts du GCMS).</w:t>
            </w:r>
          </w:p>
          <w:p w:rsidR="00644D0C" w:rsidRPr="007D5586" w:rsidRDefault="00644D0C" w:rsidP="00712212">
            <w:pPr>
              <w:rPr>
                <w:rFonts w:ascii="Marianne" w:hAnsi="Marianne"/>
                <w:sz w:val="20"/>
              </w:rPr>
            </w:pPr>
          </w:p>
        </w:tc>
      </w:tr>
      <w:tr w:rsidR="005C0E30" w:rsidTr="007D5586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D5586" w:rsidRDefault="007D5586" w:rsidP="00712212">
            <w:pPr>
              <w:rPr>
                <w:rFonts w:ascii="Marianne" w:hAnsi="Marianne"/>
                <w:b/>
                <w:sz w:val="20"/>
                <w:u w:val="single"/>
              </w:rPr>
            </w:pPr>
          </w:p>
          <w:p w:rsidR="00644D0C" w:rsidRDefault="00026BA0" w:rsidP="00712212">
            <w:pPr>
              <w:rPr>
                <w:rFonts w:ascii="Marianne" w:hAnsi="Marianne"/>
                <w:b/>
                <w:sz w:val="20"/>
              </w:rPr>
            </w:pPr>
            <w:r w:rsidRPr="005C0E30">
              <w:rPr>
                <w:rFonts w:ascii="Marianne" w:hAnsi="Marianne"/>
                <w:b/>
                <w:sz w:val="20"/>
                <w:u w:val="single"/>
              </w:rPr>
              <w:t>Question n°4</w:t>
            </w:r>
            <w:r>
              <w:rPr>
                <w:rFonts w:ascii="Marianne" w:hAnsi="Marianne"/>
                <w:b/>
                <w:sz w:val="20"/>
              </w:rPr>
              <w:t> :</w:t>
            </w:r>
          </w:p>
          <w:p w:rsidR="00026BA0" w:rsidRPr="007D5586" w:rsidRDefault="00026BA0" w:rsidP="00712212">
            <w:pPr>
              <w:rPr>
                <w:rFonts w:ascii="Marianne" w:hAnsi="Marianne"/>
                <w:b/>
                <w:sz w:val="10"/>
                <w:szCs w:val="10"/>
              </w:rPr>
            </w:pPr>
          </w:p>
          <w:p w:rsidR="005C0E30" w:rsidRDefault="005C0E30" w:rsidP="005C0E30">
            <w:pPr>
              <w:numPr>
                <w:ilvl w:val="0"/>
                <w:numId w:val="22"/>
              </w:numPr>
              <w:ind w:left="0"/>
              <w:jc w:val="both"/>
              <w:rPr>
                <w:rFonts w:ascii="Marianne" w:hAnsi="Marianne" w:cs="Calibri"/>
                <w:b/>
                <w:iCs/>
                <w:sz w:val="20"/>
              </w:rPr>
            </w:pPr>
            <w:r w:rsidRPr="00C046D6">
              <w:rPr>
                <w:rFonts w:ascii="Marianne" w:hAnsi="Marianne" w:cs="Calibri"/>
                <w:b/>
                <w:iCs/>
                <w:sz w:val="20"/>
              </w:rPr>
              <w:t>Quelles seront les modalités de constitution et d’organisation du groupement de coopération médico-sociale qui sera créé ?</w:t>
            </w:r>
          </w:p>
          <w:p w:rsidR="00026BA0" w:rsidRPr="00712212" w:rsidRDefault="00026BA0" w:rsidP="00712212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D5586" w:rsidRDefault="007D5586" w:rsidP="007D5586">
            <w:pPr>
              <w:jc w:val="both"/>
              <w:rPr>
                <w:rFonts w:ascii="Marianne" w:hAnsi="Marianne" w:cs="Calibri"/>
                <w:iCs/>
                <w:sz w:val="20"/>
              </w:rPr>
            </w:pPr>
          </w:p>
          <w:p w:rsidR="007D5586" w:rsidRDefault="007D5586" w:rsidP="007D5586">
            <w:pPr>
              <w:jc w:val="both"/>
              <w:rPr>
                <w:rFonts w:ascii="Marianne" w:hAnsi="Marianne" w:cs="Calibri"/>
                <w:iCs/>
                <w:sz w:val="20"/>
              </w:rPr>
            </w:pPr>
            <w:r>
              <w:rPr>
                <w:rFonts w:ascii="Marianne" w:hAnsi="Marianne" w:cs="Calibri"/>
                <w:iCs/>
                <w:sz w:val="20"/>
              </w:rPr>
              <w:t>En ce qui concerne la constitution du groupement de coopération médico-sociale : cf. réponse à la question n°2.</w:t>
            </w:r>
          </w:p>
          <w:p w:rsidR="007D5586" w:rsidRDefault="007D5586" w:rsidP="007D5586">
            <w:pPr>
              <w:jc w:val="both"/>
              <w:rPr>
                <w:rFonts w:ascii="Marianne" w:hAnsi="Marianne" w:cs="Calibri"/>
                <w:iCs/>
                <w:sz w:val="20"/>
              </w:rPr>
            </w:pPr>
          </w:p>
          <w:p w:rsidR="007D5586" w:rsidRDefault="007D5586" w:rsidP="007D5586">
            <w:pPr>
              <w:jc w:val="both"/>
              <w:rPr>
                <w:rFonts w:ascii="Marianne" w:hAnsi="Marianne" w:cs="Calibri"/>
                <w:iCs/>
                <w:sz w:val="20"/>
              </w:rPr>
            </w:pPr>
            <w:r>
              <w:rPr>
                <w:rFonts w:ascii="Marianne" w:hAnsi="Marianne" w:cs="Calibri"/>
                <w:iCs/>
                <w:sz w:val="20"/>
              </w:rPr>
              <w:lastRenderedPageBreak/>
              <w:t>En ce qui concerne les modalités d’organisation du groupement de coopération médico-sociale, le cahier des charges précise : « U</w:t>
            </w:r>
            <w:r w:rsidRPr="00661A80">
              <w:rPr>
                <w:rFonts w:ascii="Marianne" w:hAnsi="Marianne" w:cs="Calibri"/>
                <w:iCs/>
                <w:sz w:val="20"/>
              </w:rPr>
              <w:t xml:space="preserve">ne proposition d’organisation régionale sera attendue de la part des candidats retenus à l’issue du présent AMI et sera étudiée par l’Agence régionale de santé, en vue d’une mise en place au moment de l’entrée en fonction des </w:t>
            </w:r>
            <w:proofErr w:type="spellStart"/>
            <w:r w:rsidRPr="00661A80">
              <w:rPr>
                <w:rFonts w:ascii="Marianne" w:hAnsi="Marianne" w:cs="Calibri"/>
                <w:iCs/>
                <w:sz w:val="20"/>
              </w:rPr>
              <w:t>faciliteurs</w:t>
            </w:r>
            <w:proofErr w:type="spellEnd"/>
            <w:r w:rsidRPr="00661A80">
              <w:rPr>
                <w:rFonts w:ascii="Marianne" w:hAnsi="Marianne" w:cs="Calibri"/>
                <w:iCs/>
                <w:sz w:val="20"/>
              </w:rPr>
              <w:t xml:space="preserve"> de choix de vie, à l’issue de leur formation.</w:t>
            </w:r>
            <w:r>
              <w:rPr>
                <w:rFonts w:ascii="Marianne" w:hAnsi="Marianne" w:cs="Calibri"/>
                <w:iCs/>
                <w:sz w:val="20"/>
              </w:rPr>
              <w:t> »</w:t>
            </w:r>
          </w:p>
          <w:p w:rsidR="00644D0C" w:rsidRPr="00712212" w:rsidRDefault="00644D0C" w:rsidP="00712212">
            <w:pPr>
              <w:rPr>
                <w:rFonts w:ascii="Marianne" w:hAnsi="Marianne"/>
                <w:b/>
                <w:sz w:val="20"/>
              </w:rPr>
            </w:pPr>
          </w:p>
        </w:tc>
      </w:tr>
      <w:tr w:rsidR="005C0E30" w:rsidTr="007D5586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0E30" w:rsidRDefault="005C0E30" w:rsidP="00712212">
            <w:pPr>
              <w:rPr>
                <w:rFonts w:ascii="Marianne" w:hAnsi="Marianne"/>
                <w:b/>
                <w:sz w:val="20"/>
              </w:rPr>
            </w:pPr>
          </w:p>
          <w:p w:rsidR="00644D0C" w:rsidRDefault="00026BA0" w:rsidP="00712212">
            <w:pPr>
              <w:rPr>
                <w:rFonts w:ascii="Marianne" w:hAnsi="Marianne"/>
                <w:b/>
                <w:sz w:val="20"/>
              </w:rPr>
            </w:pPr>
            <w:r w:rsidRPr="005C0E30">
              <w:rPr>
                <w:rFonts w:ascii="Marianne" w:hAnsi="Marianne"/>
                <w:b/>
                <w:sz w:val="20"/>
                <w:u w:val="single"/>
              </w:rPr>
              <w:t>Question n°</w:t>
            </w:r>
            <w:r w:rsidR="005C0E30" w:rsidRPr="005C0E30">
              <w:rPr>
                <w:rFonts w:ascii="Marianne" w:hAnsi="Marianne"/>
                <w:b/>
                <w:sz w:val="20"/>
                <w:u w:val="single"/>
              </w:rPr>
              <w:t>5</w:t>
            </w:r>
            <w:r>
              <w:rPr>
                <w:rFonts w:ascii="Marianne" w:hAnsi="Marianne"/>
                <w:b/>
                <w:sz w:val="20"/>
              </w:rPr>
              <w:t> :</w:t>
            </w:r>
          </w:p>
          <w:p w:rsidR="005C0E30" w:rsidRPr="007D5586" w:rsidRDefault="005C0E30" w:rsidP="00712212">
            <w:pPr>
              <w:rPr>
                <w:rFonts w:ascii="Marianne" w:hAnsi="Marianne"/>
                <w:b/>
                <w:sz w:val="10"/>
                <w:szCs w:val="10"/>
              </w:rPr>
            </w:pPr>
          </w:p>
          <w:p w:rsidR="00026BA0" w:rsidRDefault="005C0E30" w:rsidP="00712212">
            <w:pPr>
              <w:rPr>
                <w:rFonts w:ascii="Marianne" w:hAnsi="Marianne"/>
                <w:b/>
                <w:sz w:val="20"/>
              </w:rPr>
            </w:pPr>
            <w:r w:rsidRPr="005C0E30">
              <w:rPr>
                <w:rFonts w:ascii="Marianne" w:hAnsi="Marianne"/>
                <w:b/>
                <w:sz w:val="20"/>
              </w:rPr>
              <w:t>Le groupement de coopération médico-sociale est-il bien le support du pôle d’appui-ressource régional ?</w:t>
            </w:r>
          </w:p>
          <w:p w:rsidR="00026BA0" w:rsidRPr="00712212" w:rsidRDefault="00026BA0" w:rsidP="00712212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D5586" w:rsidRDefault="007D5586" w:rsidP="007D5586">
            <w:pPr>
              <w:rPr>
                <w:rFonts w:ascii="Marianne" w:hAnsi="Marianne"/>
                <w:sz w:val="20"/>
              </w:rPr>
            </w:pPr>
          </w:p>
          <w:p w:rsidR="007D5586" w:rsidRPr="007D5586" w:rsidRDefault="007D5586" w:rsidP="0057187A">
            <w:pPr>
              <w:jc w:val="both"/>
              <w:rPr>
                <w:rFonts w:ascii="Marianne" w:hAnsi="Marianne"/>
                <w:sz w:val="20"/>
              </w:rPr>
            </w:pPr>
            <w:r w:rsidRPr="007D5586">
              <w:rPr>
                <w:rFonts w:ascii="Marianne" w:hAnsi="Marianne"/>
                <w:sz w:val="20"/>
              </w:rPr>
              <w:t xml:space="preserve">Le </w:t>
            </w:r>
            <w:r>
              <w:rPr>
                <w:rFonts w:ascii="Marianne" w:hAnsi="Marianne"/>
                <w:sz w:val="20"/>
              </w:rPr>
              <w:t>groupement de coopération médico-sociale</w:t>
            </w:r>
            <w:r w:rsidRPr="007D5586">
              <w:rPr>
                <w:rFonts w:ascii="Marianne" w:hAnsi="Marianne"/>
                <w:sz w:val="20"/>
              </w:rPr>
              <w:t xml:space="preserve"> sera effectivement le support du pôle d’appui-ressource régional. L’avis de publication précise : « il sera attendu de chaque organisme gestionnaire retenu qu’il s’engage à respecter le cahier des charges fourni en annexe 1, et à rejoindre un groupement de coopération médico-sociale qui, une fois constitué, réunira notamment l’ensemble des candidats retenus, et qui aura vocation à assurer les fonctions d’animation territoriale, d’appui-ressource, et de management fonctionnel des </w:t>
            </w:r>
            <w:proofErr w:type="spellStart"/>
            <w:r w:rsidRPr="007D5586">
              <w:rPr>
                <w:rFonts w:ascii="Marianne" w:hAnsi="Marianne"/>
                <w:sz w:val="20"/>
              </w:rPr>
              <w:t>faciliteurs</w:t>
            </w:r>
            <w:proofErr w:type="spellEnd"/>
            <w:r w:rsidRPr="007D5586">
              <w:rPr>
                <w:rFonts w:ascii="Marianne" w:hAnsi="Marianne"/>
                <w:sz w:val="20"/>
              </w:rPr>
              <w:t xml:space="preserve"> de choix de vie ».</w:t>
            </w:r>
          </w:p>
          <w:p w:rsidR="00644D0C" w:rsidRPr="007D5586" w:rsidRDefault="00644D0C" w:rsidP="00712212">
            <w:pPr>
              <w:rPr>
                <w:rFonts w:ascii="Marianne" w:hAnsi="Marianne"/>
                <w:sz w:val="20"/>
              </w:rPr>
            </w:pPr>
          </w:p>
        </w:tc>
      </w:tr>
      <w:tr w:rsidR="005C0E30" w:rsidTr="007D5586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0E30" w:rsidRDefault="005C0E30" w:rsidP="00712212">
            <w:pPr>
              <w:rPr>
                <w:rFonts w:ascii="Marianne" w:hAnsi="Marianne"/>
                <w:b/>
                <w:sz w:val="20"/>
              </w:rPr>
            </w:pPr>
          </w:p>
          <w:p w:rsidR="00644D0C" w:rsidRDefault="00026BA0" w:rsidP="00712212">
            <w:pPr>
              <w:rPr>
                <w:rFonts w:ascii="Marianne" w:hAnsi="Marianne"/>
                <w:b/>
                <w:sz w:val="20"/>
              </w:rPr>
            </w:pPr>
            <w:r w:rsidRPr="005C0E30">
              <w:rPr>
                <w:rFonts w:ascii="Marianne" w:hAnsi="Marianne"/>
                <w:b/>
                <w:sz w:val="20"/>
                <w:u w:val="single"/>
              </w:rPr>
              <w:t>Question n°6</w:t>
            </w:r>
            <w:r>
              <w:rPr>
                <w:rFonts w:ascii="Marianne" w:hAnsi="Marianne"/>
                <w:b/>
                <w:sz w:val="20"/>
              </w:rPr>
              <w:t> :</w:t>
            </w:r>
          </w:p>
          <w:p w:rsidR="005C0E30" w:rsidRPr="007D5586" w:rsidRDefault="005C0E30" w:rsidP="00712212">
            <w:pPr>
              <w:rPr>
                <w:rFonts w:ascii="Marianne" w:hAnsi="Marianne"/>
                <w:b/>
                <w:sz w:val="10"/>
                <w:szCs w:val="10"/>
              </w:rPr>
            </w:pPr>
          </w:p>
          <w:p w:rsidR="005C0E30" w:rsidRDefault="005C0E30" w:rsidP="005C0E30">
            <w:pPr>
              <w:numPr>
                <w:ilvl w:val="0"/>
                <w:numId w:val="22"/>
              </w:numPr>
              <w:ind w:left="0"/>
              <w:jc w:val="both"/>
              <w:rPr>
                <w:rFonts w:ascii="Marianne" w:hAnsi="Marianne" w:cs="Calibri"/>
                <w:b/>
                <w:iCs/>
                <w:sz w:val="20"/>
              </w:rPr>
            </w:pPr>
            <w:r w:rsidRPr="00C046D6">
              <w:rPr>
                <w:rFonts w:ascii="Marianne" w:hAnsi="Marianne" w:cs="Calibri"/>
                <w:b/>
                <w:iCs/>
                <w:sz w:val="20"/>
              </w:rPr>
              <w:t xml:space="preserve">Qui assure la gouvernance du groupement de coopération médico-sociale ? </w:t>
            </w:r>
          </w:p>
          <w:p w:rsidR="005C0E30" w:rsidRPr="00C046D6" w:rsidRDefault="005C0E30" w:rsidP="005C0E30">
            <w:pPr>
              <w:jc w:val="both"/>
              <w:rPr>
                <w:rFonts w:ascii="Marianne" w:hAnsi="Marianne" w:cs="Calibri"/>
                <w:b/>
                <w:iCs/>
                <w:sz w:val="20"/>
              </w:rPr>
            </w:pPr>
            <w:r w:rsidRPr="00C046D6">
              <w:rPr>
                <w:rFonts w:ascii="Marianne" w:hAnsi="Marianne" w:cs="Calibri"/>
                <w:b/>
                <w:iCs/>
                <w:sz w:val="20"/>
              </w:rPr>
              <w:t>Est-ce bien à déterminer à l’issue de l’AMI par les porteurs de projet retenus ?</w:t>
            </w:r>
          </w:p>
          <w:p w:rsidR="00026BA0" w:rsidRPr="00712212" w:rsidRDefault="00026BA0" w:rsidP="00712212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D5586" w:rsidRDefault="007D5586" w:rsidP="007D5586">
            <w:pPr>
              <w:rPr>
                <w:rFonts w:ascii="Marianne" w:hAnsi="Marianne"/>
                <w:b/>
                <w:sz w:val="20"/>
              </w:rPr>
            </w:pPr>
          </w:p>
          <w:p w:rsidR="007D5586" w:rsidRPr="007D5586" w:rsidRDefault="007D5586" w:rsidP="007D5586">
            <w:pPr>
              <w:rPr>
                <w:rFonts w:ascii="Marianne" w:hAnsi="Marianne"/>
                <w:sz w:val="20"/>
              </w:rPr>
            </w:pPr>
            <w:r w:rsidRPr="007D5586">
              <w:rPr>
                <w:rFonts w:ascii="Marianne" w:hAnsi="Marianne"/>
                <w:sz w:val="20"/>
              </w:rPr>
              <w:t>Les modalités d’organisation du GCMS, dont celles relatives à sa gouvernance, seront définies dans le cadre de sa convention constitutive.</w:t>
            </w:r>
          </w:p>
          <w:p w:rsidR="00644D0C" w:rsidRPr="007D5586" w:rsidRDefault="007D5586" w:rsidP="007D5586">
            <w:pPr>
              <w:rPr>
                <w:rFonts w:ascii="Marianne" w:hAnsi="Marianne"/>
                <w:sz w:val="20"/>
              </w:rPr>
            </w:pPr>
            <w:r w:rsidRPr="007D5586">
              <w:rPr>
                <w:rFonts w:ascii="Marianne" w:hAnsi="Marianne"/>
                <w:sz w:val="20"/>
              </w:rPr>
              <w:t xml:space="preserve">Le cahier des charges précise en l’espèce : « Une proposition d’organisation régionale sera attendue de la part des candidats retenus à l’issue du présent AMI et sera étudiée par l’Agence régionale de santé, en vue d’une mise en place au moment de l’entrée en fonction des </w:t>
            </w:r>
            <w:proofErr w:type="spellStart"/>
            <w:r w:rsidRPr="007D5586">
              <w:rPr>
                <w:rFonts w:ascii="Marianne" w:hAnsi="Marianne"/>
                <w:sz w:val="20"/>
              </w:rPr>
              <w:t>faciliteurs</w:t>
            </w:r>
            <w:proofErr w:type="spellEnd"/>
            <w:r w:rsidRPr="007D5586">
              <w:rPr>
                <w:rFonts w:ascii="Marianne" w:hAnsi="Marianne"/>
                <w:sz w:val="20"/>
              </w:rPr>
              <w:t xml:space="preserve"> de choix de vie, à l’issue de leur formation. »</w:t>
            </w:r>
          </w:p>
          <w:p w:rsidR="007D5586" w:rsidRPr="00712212" w:rsidRDefault="007D5586" w:rsidP="007D5586">
            <w:pPr>
              <w:rPr>
                <w:rFonts w:ascii="Marianne" w:hAnsi="Marianne"/>
                <w:b/>
                <w:sz w:val="20"/>
              </w:rPr>
            </w:pPr>
          </w:p>
        </w:tc>
      </w:tr>
      <w:tr w:rsidR="005C0E30" w:rsidTr="007D5586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0E30" w:rsidRDefault="005C0E30" w:rsidP="00712212">
            <w:pPr>
              <w:rPr>
                <w:rFonts w:ascii="Marianne" w:hAnsi="Marianne"/>
                <w:b/>
                <w:sz w:val="20"/>
              </w:rPr>
            </w:pPr>
          </w:p>
          <w:p w:rsidR="005C0E30" w:rsidRDefault="005C0E30" w:rsidP="00712212">
            <w:pPr>
              <w:rPr>
                <w:rFonts w:ascii="Marianne" w:hAnsi="Marianne"/>
                <w:b/>
                <w:sz w:val="20"/>
              </w:rPr>
            </w:pPr>
            <w:r w:rsidRPr="00901998">
              <w:rPr>
                <w:rFonts w:ascii="Marianne" w:hAnsi="Marianne"/>
                <w:b/>
                <w:sz w:val="20"/>
                <w:u w:val="single"/>
              </w:rPr>
              <w:t>Question n°7</w:t>
            </w:r>
            <w:r>
              <w:rPr>
                <w:rFonts w:ascii="Marianne" w:hAnsi="Marianne"/>
                <w:b/>
                <w:sz w:val="20"/>
              </w:rPr>
              <w:t> :</w:t>
            </w:r>
          </w:p>
          <w:p w:rsidR="005C0E30" w:rsidRPr="007D5586" w:rsidRDefault="005C0E30" w:rsidP="00712212">
            <w:pPr>
              <w:rPr>
                <w:rFonts w:ascii="Marianne" w:hAnsi="Marianne"/>
                <w:b/>
                <w:sz w:val="10"/>
                <w:szCs w:val="10"/>
              </w:rPr>
            </w:pPr>
          </w:p>
          <w:p w:rsidR="005C0E30" w:rsidRDefault="005C0E30" w:rsidP="00A8443D">
            <w:pPr>
              <w:jc w:val="both"/>
              <w:rPr>
                <w:rFonts w:ascii="Marianne" w:hAnsi="Marianne"/>
                <w:b/>
                <w:sz w:val="20"/>
              </w:rPr>
            </w:pPr>
            <w:r w:rsidRPr="005C0E30">
              <w:rPr>
                <w:rFonts w:ascii="Marianne" w:hAnsi="Marianne"/>
                <w:b/>
                <w:sz w:val="20"/>
              </w:rPr>
              <w:t>Les organismes gestionnaires des FPV qui assureront l’accueil et la gestion des FPV et travailleront au sein du groupe de coopération médico-sociale auront-ils des indemnités pour le travail réalisé dans le cadre de ce dispositif ?</w:t>
            </w:r>
          </w:p>
          <w:p w:rsidR="005C0E30" w:rsidRDefault="005C0E30" w:rsidP="00712212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0E30" w:rsidRPr="00901998" w:rsidRDefault="00901998" w:rsidP="00712212">
            <w:pPr>
              <w:rPr>
                <w:rFonts w:ascii="Marianne" w:hAnsi="Marianne"/>
                <w:sz w:val="20"/>
              </w:rPr>
            </w:pPr>
            <w:r w:rsidRPr="00901998">
              <w:rPr>
                <w:rFonts w:ascii="Marianne" w:hAnsi="Marianne"/>
                <w:sz w:val="20"/>
              </w:rPr>
              <w:t xml:space="preserve">Aucune indemnité </w:t>
            </w:r>
            <w:r>
              <w:rPr>
                <w:rFonts w:ascii="Marianne" w:hAnsi="Marianne"/>
                <w:sz w:val="20"/>
              </w:rPr>
              <w:t xml:space="preserve">spécifique </w:t>
            </w:r>
            <w:r w:rsidRPr="00901998">
              <w:rPr>
                <w:rFonts w:ascii="Marianne" w:hAnsi="Marianne"/>
                <w:sz w:val="20"/>
              </w:rPr>
              <w:t>n’est prévu</w:t>
            </w:r>
            <w:r w:rsidR="009E4AA6">
              <w:rPr>
                <w:rFonts w:ascii="Marianne" w:hAnsi="Marianne"/>
                <w:sz w:val="20"/>
              </w:rPr>
              <w:t>e</w:t>
            </w:r>
            <w:r>
              <w:rPr>
                <w:rFonts w:ascii="Marianne" w:hAnsi="Marianne"/>
                <w:sz w:val="20"/>
              </w:rPr>
              <w:t xml:space="preserve"> pour les organismes gestionnaires porteurs des </w:t>
            </w:r>
            <w:proofErr w:type="spellStart"/>
            <w:r>
              <w:rPr>
                <w:rFonts w:ascii="Marianne" w:hAnsi="Marianne"/>
                <w:sz w:val="20"/>
              </w:rPr>
              <w:t>faciliteurs</w:t>
            </w:r>
            <w:proofErr w:type="spellEnd"/>
            <w:r>
              <w:rPr>
                <w:rFonts w:ascii="Marianne" w:hAnsi="Marianne"/>
                <w:sz w:val="20"/>
              </w:rPr>
              <w:t xml:space="preserve"> de choix de vie.</w:t>
            </w:r>
          </w:p>
        </w:tc>
      </w:tr>
      <w:tr w:rsidR="00A46DB6" w:rsidTr="007D5586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DB6" w:rsidRDefault="00A46DB6" w:rsidP="00712212">
            <w:pPr>
              <w:rPr>
                <w:rFonts w:ascii="Marianne" w:hAnsi="Marianne"/>
                <w:b/>
                <w:sz w:val="20"/>
                <w:u w:val="single"/>
              </w:rPr>
            </w:pPr>
            <w:r w:rsidRPr="00A46DB6">
              <w:rPr>
                <w:rFonts w:ascii="Marianne" w:hAnsi="Marianne"/>
                <w:b/>
                <w:sz w:val="20"/>
                <w:u w:val="single"/>
              </w:rPr>
              <w:t>Question n°8 :</w:t>
            </w:r>
          </w:p>
          <w:p w:rsidR="00A8443D" w:rsidRDefault="00A8443D" w:rsidP="00712212">
            <w:pPr>
              <w:rPr>
                <w:rFonts w:ascii="Marianne" w:hAnsi="Marianne"/>
                <w:b/>
                <w:sz w:val="20"/>
                <w:u w:val="single"/>
              </w:rPr>
            </w:pPr>
          </w:p>
          <w:p w:rsidR="00A8443D" w:rsidRPr="00A8443D" w:rsidRDefault="00A8443D" w:rsidP="00A8443D">
            <w:pPr>
              <w:jc w:val="both"/>
              <w:rPr>
                <w:rFonts w:ascii="Marianne" w:hAnsi="Marianne"/>
                <w:b/>
                <w:sz w:val="20"/>
              </w:rPr>
            </w:pPr>
            <w:r w:rsidRPr="00A8443D">
              <w:rPr>
                <w:rFonts w:ascii="Marianne" w:hAnsi="Marianne"/>
                <w:b/>
                <w:sz w:val="20"/>
              </w:rPr>
              <w:t xml:space="preserve">Au regard du cadre de la demande simplifiée, précisant que les candidatures doivent être formalisées par des OG (structure avec </w:t>
            </w:r>
            <w:proofErr w:type="spellStart"/>
            <w:r w:rsidRPr="00A8443D">
              <w:rPr>
                <w:rFonts w:ascii="Marianne" w:hAnsi="Marianne"/>
                <w:b/>
                <w:sz w:val="20"/>
              </w:rPr>
              <w:t>n°Finess</w:t>
            </w:r>
            <w:proofErr w:type="spellEnd"/>
            <w:r w:rsidRPr="00A8443D">
              <w:rPr>
                <w:rFonts w:ascii="Marianne" w:hAnsi="Marianne"/>
                <w:b/>
                <w:sz w:val="20"/>
              </w:rPr>
              <w:t xml:space="preserve">) et que doit y être défini les modalités de coopération avec les Communauté 360 (laissant entendre qu’il ne serait pas envisagé l’intégration des postes de </w:t>
            </w:r>
            <w:r w:rsidRPr="00A8443D">
              <w:rPr>
                <w:rFonts w:ascii="Marianne" w:hAnsi="Marianne"/>
                <w:b/>
                <w:sz w:val="20"/>
              </w:rPr>
              <w:lastRenderedPageBreak/>
              <w:t>facilitateurs de choix de vie au sein des C 360), nous nous questionnons sur les attendus de l’ARS sur l’éventuelle candidature de la part des C 360 à l’AMI.</w:t>
            </w:r>
          </w:p>
          <w:p w:rsidR="00A8443D" w:rsidRPr="00A8443D" w:rsidRDefault="00A8443D" w:rsidP="00A8443D">
            <w:pPr>
              <w:jc w:val="both"/>
              <w:rPr>
                <w:rFonts w:ascii="Marianne" w:hAnsi="Marianne"/>
                <w:b/>
                <w:sz w:val="20"/>
              </w:rPr>
            </w:pPr>
            <w:r w:rsidRPr="00A8443D">
              <w:rPr>
                <w:rFonts w:ascii="Marianne" w:hAnsi="Marianne"/>
                <w:b/>
                <w:sz w:val="20"/>
              </w:rPr>
              <w:t>Et dans l’éventualité d’une candidature possible de la Communauté 360, est-il possible de formaliser une seule candidature pour les deux territoires du Pas-de-Calais et les 4 postes ?</w:t>
            </w:r>
          </w:p>
          <w:p w:rsidR="00A46DB6" w:rsidRDefault="00A46DB6" w:rsidP="00712212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443D" w:rsidRDefault="00A8443D" w:rsidP="00A8443D">
            <w:pPr>
              <w:jc w:val="both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lastRenderedPageBreak/>
              <w:t>L’avis d’AMI publié prévoit les dispositions suivantes : « </w:t>
            </w:r>
            <w:r w:rsidRPr="00A46DB6">
              <w:rPr>
                <w:rFonts w:ascii="Marianne" w:hAnsi="Marianne"/>
                <w:sz w:val="20"/>
              </w:rPr>
              <w:t>Le présent appel à manifestation d’intérêt s’adresse aux organismes gestionnaires disposant d’une autorisation médico-sociale relevant d’une compétence exclusive ARS ou compétence conjointe ARS-CD (ESMS pour enfants ou adultes) entrant dans le champ de l’article L.312-1 du code de l’action sociale et des familles (CASF).</w:t>
            </w:r>
            <w:r>
              <w:rPr>
                <w:rFonts w:ascii="Marianne" w:hAnsi="Marianne"/>
                <w:sz w:val="20"/>
              </w:rPr>
              <w:t> »</w:t>
            </w:r>
          </w:p>
          <w:p w:rsidR="0057187A" w:rsidRDefault="00A8443D" w:rsidP="0057187A">
            <w:pPr>
              <w:jc w:val="both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lastRenderedPageBreak/>
              <w:t xml:space="preserve">La Communauté 360 </w:t>
            </w:r>
            <w:r w:rsidR="0057187A">
              <w:rPr>
                <w:rFonts w:ascii="Marianne" w:hAnsi="Marianne"/>
                <w:sz w:val="20"/>
              </w:rPr>
              <w:t>ne disposant pas</w:t>
            </w:r>
            <w:r w:rsidR="00590AA7">
              <w:rPr>
                <w:rFonts w:ascii="Marianne" w:hAnsi="Marianne"/>
                <w:sz w:val="20"/>
              </w:rPr>
              <w:t xml:space="preserve"> d’</w:t>
            </w:r>
            <w:r w:rsidR="0057187A">
              <w:rPr>
                <w:rFonts w:ascii="Marianne" w:hAnsi="Marianne"/>
                <w:sz w:val="20"/>
              </w:rPr>
              <w:t>une autorisation médico-sociale</w:t>
            </w:r>
            <w:r w:rsidR="00590AA7">
              <w:rPr>
                <w:rFonts w:ascii="Marianne" w:hAnsi="Marianne"/>
                <w:sz w:val="20"/>
              </w:rPr>
              <w:t xml:space="preserve"> relevant de l’article L.312-1 du CASF, une candidature portée par la Communauté 360 ne sera pas recevable. </w:t>
            </w:r>
          </w:p>
          <w:p w:rsidR="0057187A" w:rsidRDefault="0057187A" w:rsidP="0057187A">
            <w:pPr>
              <w:jc w:val="both"/>
              <w:rPr>
                <w:rFonts w:ascii="Marianne" w:hAnsi="Marianne"/>
                <w:sz w:val="20"/>
              </w:rPr>
            </w:pPr>
          </w:p>
          <w:p w:rsidR="00590AA7" w:rsidRPr="00901998" w:rsidRDefault="00590AA7" w:rsidP="0057187A">
            <w:pPr>
              <w:jc w:val="both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En revanche, il est tout à fait possible pour des organismes gestionnaires</w:t>
            </w:r>
            <w:r w:rsidR="0057187A">
              <w:rPr>
                <w:rFonts w:ascii="Marianne" w:hAnsi="Marianne"/>
                <w:sz w:val="20"/>
              </w:rPr>
              <w:t xml:space="preserve"> disposant d’ores et déjà d’une autorisation médico-sociale</w:t>
            </w:r>
            <w:r w:rsidR="0057187A">
              <w:t xml:space="preserve"> </w:t>
            </w:r>
            <w:r w:rsidR="0057187A" w:rsidRPr="0057187A">
              <w:rPr>
                <w:rFonts w:ascii="Marianne" w:hAnsi="Marianne"/>
                <w:sz w:val="20"/>
              </w:rPr>
              <w:t>exclusive ARS ou compétence conjointe ARS-CD (ESMS pour enfants ou adultes) entrant dans le champ de l’article L.312-1 du code de l’action sociale et des familles (CASF)</w:t>
            </w:r>
            <w:r w:rsidR="0057187A">
              <w:rPr>
                <w:rFonts w:ascii="Marianne" w:hAnsi="Marianne"/>
                <w:sz w:val="20"/>
              </w:rPr>
              <w:t xml:space="preserve">, et </w:t>
            </w:r>
            <w:r>
              <w:rPr>
                <w:rFonts w:ascii="Marianne" w:hAnsi="Marianne"/>
                <w:sz w:val="20"/>
              </w:rPr>
              <w:t>membres de la Communauté 360</w:t>
            </w:r>
            <w:r w:rsidR="0057187A">
              <w:rPr>
                <w:rFonts w:ascii="Marianne" w:hAnsi="Marianne"/>
                <w:sz w:val="20"/>
              </w:rPr>
              <w:t>,</w:t>
            </w:r>
            <w:r>
              <w:rPr>
                <w:rFonts w:ascii="Marianne" w:hAnsi="Marianne"/>
                <w:sz w:val="20"/>
              </w:rPr>
              <w:t xml:space="preserve"> de candidater et de proposer un fonctionnement en lien étroit avec elle</w:t>
            </w:r>
            <w:r w:rsidR="0057187A">
              <w:rPr>
                <w:rFonts w:ascii="Marianne" w:hAnsi="Marianne"/>
                <w:sz w:val="20"/>
              </w:rPr>
              <w:t>, comme le prévoit le cahier des charges</w:t>
            </w:r>
            <w:r>
              <w:rPr>
                <w:rFonts w:ascii="Marianne" w:hAnsi="Marianne"/>
                <w:sz w:val="20"/>
              </w:rPr>
              <w:t>.</w:t>
            </w:r>
          </w:p>
        </w:tc>
      </w:tr>
      <w:tr w:rsidR="00A46DB6" w:rsidTr="007D5586"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6DB6" w:rsidRPr="00A46DB6" w:rsidRDefault="00A46DB6" w:rsidP="00712212">
            <w:pPr>
              <w:rPr>
                <w:rFonts w:ascii="Marianne" w:hAnsi="Marianne"/>
                <w:b/>
                <w:sz w:val="20"/>
                <w:u w:val="single"/>
              </w:rPr>
            </w:pPr>
            <w:r w:rsidRPr="00A46DB6">
              <w:rPr>
                <w:rFonts w:ascii="Marianne" w:hAnsi="Marianne"/>
                <w:b/>
                <w:sz w:val="20"/>
                <w:u w:val="single"/>
              </w:rPr>
              <w:lastRenderedPageBreak/>
              <w:t>Question n°9 :</w:t>
            </w:r>
          </w:p>
          <w:p w:rsidR="00A46DB6" w:rsidRDefault="00A46DB6" w:rsidP="00A46DB6">
            <w:pPr>
              <w:rPr>
                <w:rFonts w:ascii="Marianne" w:hAnsi="Marianne"/>
                <w:b/>
                <w:sz w:val="20"/>
              </w:rPr>
            </w:pPr>
          </w:p>
          <w:p w:rsidR="00A46DB6" w:rsidRPr="00A46DB6" w:rsidRDefault="00A46DB6" w:rsidP="0057187A">
            <w:pPr>
              <w:jc w:val="both"/>
              <w:rPr>
                <w:rFonts w:ascii="Marianne" w:hAnsi="Marianne"/>
                <w:b/>
                <w:sz w:val="20"/>
              </w:rPr>
            </w:pPr>
            <w:r w:rsidRPr="00A46DB6">
              <w:rPr>
                <w:rFonts w:ascii="Marianne" w:hAnsi="Marianne"/>
                <w:b/>
                <w:sz w:val="20"/>
              </w:rPr>
              <w:t xml:space="preserve">En termes d’éligibilité des porteurs de projets, pouvez-vous m’indiquer si l’association gestionnaire doit obligatoirement avoir une autorisation médico-sociale relevant d’une </w:t>
            </w:r>
            <w:r>
              <w:rPr>
                <w:rFonts w:ascii="Marianne" w:hAnsi="Marianne"/>
                <w:b/>
                <w:sz w:val="20"/>
              </w:rPr>
              <w:t xml:space="preserve">compétence exclusive ARS </w:t>
            </w:r>
            <w:r w:rsidRPr="00A46DB6">
              <w:rPr>
                <w:rFonts w:ascii="Marianne" w:hAnsi="Marianne"/>
                <w:b/>
                <w:sz w:val="20"/>
              </w:rPr>
              <w:t xml:space="preserve">ou conjointe dans le département où elle souhaite répondre ? </w:t>
            </w:r>
          </w:p>
          <w:p w:rsidR="00A46DB6" w:rsidRPr="00A46DB6" w:rsidRDefault="00A46DB6" w:rsidP="00A46DB6">
            <w:pPr>
              <w:rPr>
                <w:rFonts w:ascii="Marianne" w:hAnsi="Marianne"/>
                <w:b/>
                <w:sz w:val="20"/>
              </w:rPr>
            </w:pPr>
          </w:p>
          <w:p w:rsidR="00A46DB6" w:rsidRPr="00A46DB6" w:rsidRDefault="00A46DB6" w:rsidP="0057187A">
            <w:pPr>
              <w:jc w:val="both"/>
              <w:rPr>
                <w:rFonts w:ascii="Marianne" w:hAnsi="Marianne"/>
                <w:b/>
                <w:sz w:val="20"/>
              </w:rPr>
            </w:pPr>
            <w:r w:rsidRPr="00A46DB6">
              <w:rPr>
                <w:rFonts w:ascii="Marianne" w:hAnsi="Marianne"/>
                <w:b/>
                <w:sz w:val="20"/>
              </w:rPr>
              <w:t>Plus concrètement, nous n’avons pas d’ESMS sous compétence ARS ou mixte dans la Somme mais nous en avons dans l’Oise et l’Aisne. Un dépôt de projet dans la Somme respectera-t-il les critères de recevabilité ?</w:t>
            </w:r>
          </w:p>
          <w:p w:rsidR="00A46DB6" w:rsidRDefault="00A46DB6" w:rsidP="00712212">
            <w:pPr>
              <w:rPr>
                <w:rFonts w:ascii="Marianne" w:hAnsi="Marianne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443D" w:rsidRDefault="00590AA7" w:rsidP="00A8443D">
            <w:pPr>
              <w:jc w:val="both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Au regard des dispositions prévues par l’avis d’AMI (cf. question n°8)</w:t>
            </w:r>
            <w:r w:rsidR="0057187A">
              <w:rPr>
                <w:rFonts w:ascii="Marianne" w:hAnsi="Marianne"/>
                <w:sz w:val="20"/>
              </w:rPr>
              <w:t>, il</w:t>
            </w:r>
            <w:r w:rsidR="00A46DB6">
              <w:rPr>
                <w:rFonts w:ascii="Marianne" w:hAnsi="Marianne"/>
                <w:sz w:val="20"/>
              </w:rPr>
              <w:t xml:space="preserve"> est en effet obligatoire</w:t>
            </w:r>
            <w:r w:rsidR="00A8443D">
              <w:rPr>
                <w:rFonts w:ascii="Marianne" w:hAnsi="Marianne"/>
                <w:sz w:val="20"/>
              </w:rPr>
              <w:t>,</w:t>
            </w:r>
            <w:r w:rsidR="00A46DB6">
              <w:rPr>
                <w:rFonts w:ascii="Marianne" w:hAnsi="Marianne"/>
                <w:sz w:val="20"/>
              </w:rPr>
              <w:t xml:space="preserve"> pour un </w:t>
            </w:r>
            <w:r w:rsidR="00A8443D">
              <w:rPr>
                <w:rFonts w:ascii="Marianne" w:hAnsi="Marianne"/>
                <w:sz w:val="20"/>
              </w:rPr>
              <w:t>organisme gestionnaire souhaitant candidater, d’être titulaire d’une au</w:t>
            </w:r>
            <w:bookmarkStart w:id="0" w:name="_GoBack"/>
            <w:bookmarkEnd w:id="0"/>
            <w:r w:rsidR="00A8443D">
              <w:rPr>
                <w:rFonts w:ascii="Marianne" w:hAnsi="Marianne"/>
                <w:sz w:val="20"/>
              </w:rPr>
              <w:t xml:space="preserve">torisation médico-sociale exclusive ARS ou conjointe ARS-CD, entrant dans le champ de l’article L.312-1 du CASF. </w:t>
            </w:r>
          </w:p>
          <w:p w:rsidR="00A8443D" w:rsidRDefault="00A8443D" w:rsidP="00A8443D">
            <w:pPr>
              <w:jc w:val="both"/>
              <w:rPr>
                <w:rFonts w:ascii="Marianne" w:hAnsi="Marianne"/>
                <w:sz w:val="20"/>
              </w:rPr>
            </w:pPr>
          </w:p>
          <w:p w:rsidR="00A46DB6" w:rsidRPr="00901998" w:rsidRDefault="00A8443D" w:rsidP="00A8443D">
            <w:pPr>
              <w:jc w:val="both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En revanche, l’autorisation détenue ne doit pas nécessairement concerner un ESMS situé dans le département dans lequel l’organisme gestionnaire souhaite candidater</w:t>
            </w:r>
            <w:r w:rsidR="00590AA7">
              <w:rPr>
                <w:rFonts w:ascii="Marianne" w:hAnsi="Marianne"/>
                <w:sz w:val="20"/>
              </w:rPr>
              <w:t xml:space="preserve"> pour que la candidature soit recevable</w:t>
            </w:r>
            <w:r>
              <w:rPr>
                <w:rFonts w:ascii="Marianne" w:hAnsi="Marianne"/>
                <w:sz w:val="20"/>
              </w:rPr>
              <w:t>.</w:t>
            </w:r>
          </w:p>
        </w:tc>
      </w:tr>
    </w:tbl>
    <w:p w:rsidR="00644D0C" w:rsidRPr="00305EBB" w:rsidRDefault="00644D0C" w:rsidP="00305EBB">
      <w:pPr>
        <w:jc w:val="both"/>
        <w:rPr>
          <w:rFonts w:ascii="Marianne" w:hAnsi="Marianne"/>
          <w:b/>
          <w:sz w:val="20"/>
        </w:rPr>
      </w:pPr>
    </w:p>
    <w:p w:rsidR="009D2E54" w:rsidRPr="00C046D6" w:rsidRDefault="009D2E54" w:rsidP="00305EBB">
      <w:pPr>
        <w:jc w:val="both"/>
        <w:rPr>
          <w:rFonts w:ascii="Marianne" w:hAnsi="Marianne"/>
          <w:b/>
          <w:sz w:val="18"/>
        </w:rPr>
      </w:pPr>
    </w:p>
    <w:p w:rsidR="007B6E9B" w:rsidRDefault="007B6E9B" w:rsidP="00305EBB">
      <w:pPr>
        <w:jc w:val="both"/>
        <w:rPr>
          <w:rFonts w:ascii="Marianne" w:hAnsi="Marianne" w:cs="Calibri"/>
          <w:b/>
          <w:iCs/>
          <w:sz w:val="22"/>
        </w:rPr>
      </w:pPr>
    </w:p>
    <w:p w:rsidR="00305EBB" w:rsidRPr="00305EBB" w:rsidRDefault="00305EBB" w:rsidP="00305EBB">
      <w:pPr>
        <w:jc w:val="both"/>
        <w:rPr>
          <w:rFonts w:ascii="Marianne" w:hAnsi="Marianne" w:cs="Calibri"/>
          <w:b/>
          <w:iCs/>
          <w:sz w:val="22"/>
        </w:rPr>
      </w:pPr>
    </w:p>
    <w:sectPr w:rsidR="00305EBB" w:rsidRPr="00305EBB" w:rsidSect="00644D0C">
      <w:footerReference w:type="even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A4" w:rsidRDefault="00C906A4">
      <w:r>
        <w:separator/>
      </w:r>
    </w:p>
  </w:endnote>
  <w:endnote w:type="continuationSeparator" w:id="0">
    <w:p w:rsidR="00C906A4" w:rsidRDefault="00C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DC" w:rsidRDefault="007B4FDC" w:rsidP="003016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B4FDC" w:rsidRDefault="007B4FDC" w:rsidP="00162B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7" w:rsidRDefault="00B13C3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45715">
      <w:rPr>
        <w:noProof/>
      </w:rPr>
      <w:t>2</w:t>
    </w:r>
    <w:r>
      <w:fldChar w:fldCharType="end"/>
    </w:r>
  </w:p>
  <w:p w:rsidR="007B4FDC" w:rsidRPr="005C0E30" w:rsidRDefault="00A46DB6" w:rsidP="00162BAB">
    <w:pPr>
      <w:pStyle w:val="Pieddepage"/>
      <w:ind w:right="360"/>
      <w:rPr>
        <w:rFonts w:ascii="Marianne" w:hAnsi="Marianne"/>
        <w:b/>
        <w:color w:val="C00000"/>
        <w:sz w:val="16"/>
        <w:szCs w:val="16"/>
      </w:rPr>
    </w:pPr>
    <w:r>
      <w:rPr>
        <w:rFonts w:ascii="Marianne" w:hAnsi="Marianne"/>
        <w:b/>
        <w:color w:val="C00000"/>
        <w:sz w:val="16"/>
        <w:szCs w:val="16"/>
      </w:rPr>
      <w:t>MAJ : 02</w:t>
    </w:r>
    <w:r w:rsidR="005C0E30" w:rsidRPr="005C0E30">
      <w:rPr>
        <w:rFonts w:ascii="Marianne" w:hAnsi="Marianne"/>
        <w:b/>
        <w:color w:val="C00000"/>
        <w:sz w:val="16"/>
        <w:szCs w:val="16"/>
      </w:rPr>
      <w:t>/0</w:t>
    </w:r>
    <w:r>
      <w:rPr>
        <w:rFonts w:ascii="Marianne" w:hAnsi="Marianne"/>
        <w:b/>
        <w:color w:val="C00000"/>
        <w:sz w:val="16"/>
        <w:szCs w:val="16"/>
      </w:rPr>
      <w:t>4</w:t>
    </w:r>
    <w:r w:rsidR="005C0E30" w:rsidRPr="005C0E30">
      <w:rPr>
        <w:rFonts w:ascii="Marianne" w:hAnsi="Marianne"/>
        <w:b/>
        <w:color w:val="C00000"/>
        <w:sz w:val="16"/>
        <w:szCs w:val="16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A4" w:rsidRDefault="00C906A4">
      <w:r>
        <w:separator/>
      </w:r>
    </w:p>
  </w:footnote>
  <w:footnote w:type="continuationSeparator" w:id="0">
    <w:p w:rsidR="00C906A4" w:rsidRDefault="00C9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13"/>
      </v:shape>
    </w:pict>
  </w:numPicBullet>
  <w:numPicBullet w:numPicBulletId="1">
    <w:pict>
      <v:shape id="_x0000_i1063" type="#_x0000_t75" style="width:9pt;height:9pt" o:bullet="t">
        <v:imagedata r:id="rId2" o:title="bullet2"/>
      </v:shape>
    </w:pict>
  </w:numPicBullet>
  <w:numPicBullet w:numPicBulletId="2">
    <w:pict>
      <v:shape id="_x0000_i1064" type="#_x0000_t75" style="width:9pt;height:9pt" o:bullet="t">
        <v:imagedata r:id="rId3" o:title="bullet3"/>
      </v:shape>
    </w:pict>
  </w:numPicBullet>
  <w:abstractNum w:abstractNumId="0" w15:restartNumberingAfterBreak="0">
    <w:nsid w:val="04EF7739"/>
    <w:multiLevelType w:val="hybridMultilevel"/>
    <w:tmpl w:val="5052DC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3A52"/>
    <w:multiLevelType w:val="hybridMultilevel"/>
    <w:tmpl w:val="D838742E"/>
    <w:lvl w:ilvl="0" w:tplc="5D1C8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E15"/>
    <w:multiLevelType w:val="multilevel"/>
    <w:tmpl w:val="3472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513D2"/>
    <w:multiLevelType w:val="hybridMultilevel"/>
    <w:tmpl w:val="0F52365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C580A"/>
    <w:multiLevelType w:val="multilevel"/>
    <w:tmpl w:val="9454C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F4251F1"/>
    <w:multiLevelType w:val="hybridMultilevel"/>
    <w:tmpl w:val="96607DE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85FD0"/>
    <w:multiLevelType w:val="hybridMultilevel"/>
    <w:tmpl w:val="65F26524"/>
    <w:lvl w:ilvl="0" w:tplc="E9645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40E3"/>
    <w:multiLevelType w:val="multilevel"/>
    <w:tmpl w:val="6EC047DA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" w15:restartNumberingAfterBreak="0">
    <w:nsid w:val="424178C6"/>
    <w:multiLevelType w:val="hybridMultilevel"/>
    <w:tmpl w:val="4BF2DE1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940ED1"/>
    <w:multiLevelType w:val="hybridMultilevel"/>
    <w:tmpl w:val="4B0C7E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8236AB"/>
    <w:multiLevelType w:val="hybridMultilevel"/>
    <w:tmpl w:val="417215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C5CDC"/>
    <w:multiLevelType w:val="hybridMultilevel"/>
    <w:tmpl w:val="484C1DE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674226"/>
    <w:multiLevelType w:val="hybridMultilevel"/>
    <w:tmpl w:val="C82E3B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25353"/>
    <w:multiLevelType w:val="hybridMultilevel"/>
    <w:tmpl w:val="FAC6444A"/>
    <w:lvl w:ilvl="0" w:tplc="4176B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53E55"/>
    <w:multiLevelType w:val="hybridMultilevel"/>
    <w:tmpl w:val="0C10047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BE2C8A"/>
    <w:multiLevelType w:val="hybridMultilevel"/>
    <w:tmpl w:val="54107A80"/>
    <w:lvl w:ilvl="0" w:tplc="DBB699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E4F03"/>
    <w:multiLevelType w:val="hybridMultilevel"/>
    <w:tmpl w:val="D6AC10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7012D"/>
    <w:multiLevelType w:val="hybridMultilevel"/>
    <w:tmpl w:val="727C889A"/>
    <w:lvl w:ilvl="0" w:tplc="34B0D1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F93DAA"/>
    <w:multiLevelType w:val="hybridMultilevel"/>
    <w:tmpl w:val="0F82313C"/>
    <w:lvl w:ilvl="0" w:tplc="2C8410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557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FE0B6B"/>
    <w:multiLevelType w:val="hybridMultilevel"/>
    <w:tmpl w:val="79AE6E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1584"/>
    <w:multiLevelType w:val="hybridMultilevel"/>
    <w:tmpl w:val="57DAD8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873F5"/>
    <w:multiLevelType w:val="hybridMultilevel"/>
    <w:tmpl w:val="98F2E9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10"/>
  </w:num>
  <w:num w:numId="5">
    <w:abstractNumId w:val="9"/>
  </w:num>
  <w:num w:numId="6">
    <w:abstractNumId w:val="3"/>
  </w:num>
  <w:num w:numId="7">
    <w:abstractNumId w:val="20"/>
  </w:num>
  <w:num w:numId="8">
    <w:abstractNumId w:val="7"/>
  </w:num>
  <w:num w:numId="9">
    <w:abstractNumId w:val="22"/>
  </w:num>
  <w:num w:numId="10">
    <w:abstractNumId w:val="13"/>
  </w:num>
  <w:num w:numId="11">
    <w:abstractNumId w:val="1"/>
  </w:num>
  <w:num w:numId="12">
    <w:abstractNumId w:val="6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11"/>
  </w:num>
  <w:num w:numId="18">
    <w:abstractNumId w:val="8"/>
  </w:num>
  <w:num w:numId="19">
    <w:abstractNumId w:val="14"/>
  </w:num>
  <w:num w:numId="20">
    <w:abstractNumId w:val="4"/>
  </w:num>
  <w:num w:numId="21">
    <w:abstractNumId w:val="0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16"/>
    <w:rsid w:val="00014DC3"/>
    <w:rsid w:val="0001668C"/>
    <w:rsid w:val="000223B4"/>
    <w:rsid w:val="00023724"/>
    <w:rsid w:val="00026BA0"/>
    <w:rsid w:val="00027BFE"/>
    <w:rsid w:val="0004213A"/>
    <w:rsid w:val="00046CF7"/>
    <w:rsid w:val="00047564"/>
    <w:rsid w:val="00051016"/>
    <w:rsid w:val="00051C41"/>
    <w:rsid w:val="00061103"/>
    <w:rsid w:val="00070244"/>
    <w:rsid w:val="00085216"/>
    <w:rsid w:val="000928C7"/>
    <w:rsid w:val="00095B33"/>
    <w:rsid w:val="000B0C0C"/>
    <w:rsid w:val="000B4865"/>
    <w:rsid w:val="000C1649"/>
    <w:rsid w:val="000C2616"/>
    <w:rsid w:val="000C27D4"/>
    <w:rsid w:val="000D3227"/>
    <w:rsid w:val="000D607C"/>
    <w:rsid w:val="000E5C52"/>
    <w:rsid w:val="000F0601"/>
    <w:rsid w:val="00102D8B"/>
    <w:rsid w:val="00114BF4"/>
    <w:rsid w:val="00117654"/>
    <w:rsid w:val="00120518"/>
    <w:rsid w:val="00124669"/>
    <w:rsid w:val="001260C6"/>
    <w:rsid w:val="0014455A"/>
    <w:rsid w:val="00145715"/>
    <w:rsid w:val="0014601E"/>
    <w:rsid w:val="00155BDD"/>
    <w:rsid w:val="00156EA8"/>
    <w:rsid w:val="0016217C"/>
    <w:rsid w:val="00162BAB"/>
    <w:rsid w:val="00163B82"/>
    <w:rsid w:val="00174F18"/>
    <w:rsid w:val="00175667"/>
    <w:rsid w:val="001810DE"/>
    <w:rsid w:val="00184343"/>
    <w:rsid w:val="001849AB"/>
    <w:rsid w:val="00195ECD"/>
    <w:rsid w:val="001A0A4F"/>
    <w:rsid w:val="001A23EE"/>
    <w:rsid w:val="001A44EE"/>
    <w:rsid w:val="001A5D60"/>
    <w:rsid w:val="001A7A3F"/>
    <w:rsid w:val="001B2A9E"/>
    <w:rsid w:val="001B6448"/>
    <w:rsid w:val="001C0DC0"/>
    <w:rsid w:val="001C375E"/>
    <w:rsid w:val="001D192A"/>
    <w:rsid w:val="001D1D4B"/>
    <w:rsid w:val="001F72CD"/>
    <w:rsid w:val="001F7F9E"/>
    <w:rsid w:val="0021071C"/>
    <w:rsid w:val="00212A27"/>
    <w:rsid w:val="0021453C"/>
    <w:rsid w:val="00225836"/>
    <w:rsid w:val="00237D1A"/>
    <w:rsid w:val="0024203D"/>
    <w:rsid w:val="00243956"/>
    <w:rsid w:val="00253900"/>
    <w:rsid w:val="002642D4"/>
    <w:rsid w:val="00264594"/>
    <w:rsid w:val="00275D14"/>
    <w:rsid w:val="00277F37"/>
    <w:rsid w:val="00284422"/>
    <w:rsid w:val="002B375B"/>
    <w:rsid w:val="002E18BB"/>
    <w:rsid w:val="002F4A57"/>
    <w:rsid w:val="002F5B1F"/>
    <w:rsid w:val="002F5BF3"/>
    <w:rsid w:val="00300A74"/>
    <w:rsid w:val="00301657"/>
    <w:rsid w:val="00305EBB"/>
    <w:rsid w:val="00311858"/>
    <w:rsid w:val="00312F46"/>
    <w:rsid w:val="00317531"/>
    <w:rsid w:val="00323B58"/>
    <w:rsid w:val="0032440A"/>
    <w:rsid w:val="00334EC0"/>
    <w:rsid w:val="003378E6"/>
    <w:rsid w:val="003400E6"/>
    <w:rsid w:val="00342710"/>
    <w:rsid w:val="0034273F"/>
    <w:rsid w:val="00356F0B"/>
    <w:rsid w:val="00361EDE"/>
    <w:rsid w:val="00365781"/>
    <w:rsid w:val="00366D85"/>
    <w:rsid w:val="00367849"/>
    <w:rsid w:val="0037472E"/>
    <w:rsid w:val="00385893"/>
    <w:rsid w:val="00386C9E"/>
    <w:rsid w:val="003908DF"/>
    <w:rsid w:val="00396E15"/>
    <w:rsid w:val="003A3A17"/>
    <w:rsid w:val="003E499E"/>
    <w:rsid w:val="003E4E46"/>
    <w:rsid w:val="003F0CEB"/>
    <w:rsid w:val="003F7BD6"/>
    <w:rsid w:val="00412390"/>
    <w:rsid w:val="0042206A"/>
    <w:rsid w:val="00423E83"/>
    <w:rsid w:val="00426EDE"/>
    <w:rsid w:val="00427468"/>
    <w:rsid w:val="00440BB7"/>
    <w:rsid w:val="00441E55"/>
    <w:rsid w:val="0044358C"/>
    <w:rsid w:val="00446493"/>
    <w:rsid w:val="004601A5"/>
    <w:rsid w:val="00477E00"/>
    <w:rsid w:val="004B1873"/>
    <w:rsid w:val="004C1B48"/>
    <w:rsid w:val="004E0BBC"/>
    <w:rsid w:val="004E5B58"/>
    <w:rsid w:val="00513F3E"/>
    <w:rsid w:val="005225D1"/>
    <w:rsid w:val="00531AE6"/>
    <w:rsid w:val="00555F8B"/>
    <w:rsid w:val="0055720E"/>
    <w:rsid w:val="00561545"/>
    <w:rsid w:val="005616E8"/>
    <w:rsid w:val="00564022"/>
    <w:rsid w:val="0057187A"/>
    <w:rsid w:val="00573FDA"/>
    <w:rsid w:val="00580F18"/>
    <w:rsid w:val="005826EC"/>
    <w:rsid w:val="00585ACC"/>
    <w:rsid w:val="00590AA7"/>
    <w:rsid w:val="005A3C92"/>
    <w:rsid w:val="005C0E30"/>
    <w:rsid w:val="005C1BD7"/>
    <w:rsid w:val="005C7218"/>
    <w:rsid w:val="005F11D7"/>
    <w:rsid w:val="00613122"/>
    <w:rsid w:val="006446DE"/>
    <w:rsid w:val="00644D0C"/>
    <w:rsid w:val="00652F95"/>
    <w:rsid w:val="0066551B"/>
    <w:rsid w:val="00677737"/>
    <w:rsid w:val="006833A5"/>
    <w:rsid w:val="00690667"/>
    <w:rsid w:val="006939E5"/>
    <w:rsid w:val="006A7FB9"/>
    <w:rsid w:val="006B4A5A"/>
    <w:rsid w:val="006B7D30"/>
    <w:rsid w:val="006C10F4"/>
    <w:rsid w:val="006C1E20"/>
    <w:rsid w:val="006C426E"/>
    <w:rsid w:val="006C7BBA"/>
    <w:rsid w:val="006D34D1"/>
    <w:rsid w:val="006D73D6"/>
    <w:rsid w:val="006E63E1"/>
    <w:rsid w:val="006F6C8D"/>
    <w:rsid w:val="00707C71"/>
    <w:rsid w:val="00712212"/>
    <w:rsid w:val="00713A99"/>
    <w:rsid w:val="00715DD7"/>
    <w:rsid w:val="007201DF"/>
    <w:rsid w:val="00720B6D"/>
    <w:rsid w:val="00721206"/>
    <w:rsid w:val="0072729C"/>
    <w:rsid w:val="007351A6"/>
    <w:rsid w:val="00744EF9"/>
    <w:rsid w:val="00751987"/>
    <w:rsid w:val="0076204D"/>
    <w:rsid w:val="00763B50"/>
    <w:rsid w:val="00782FCD"/>
    <w:rsid w:val="007A223D"/>
    <w:rsid w:val="007A2EA5"/>
    <w:rsid w:val="007A30EE"/>
    <w:rsid w:val="007A440E"/>
    <w:rsid w:val="007A76FA"/>
    <w:rsid w:val="007B4FDC"/>
    <w:rsid w:val="007B6E9B"/>
    <w:rsid w:val="007C015E"/>
    <w:rsid w:val="007C50D8"/>
    <w:rsid w:val="007C7EC9"/>
    <w:rsid w:val="007D5586"/>
    <w:rsid w:val="007E25B0"/>
    <w:rsid w:val="007E2B63"/>
    <w:rsid w:val="007E2C20"/>
    <w:rsid w:val="007F6F98"/>
    <w:rsid w:val="00823455"/>
    <w:rsid w:val="008239B5"/>
    <w:rsid w:val="00837774"/>
    <w:rsid w:val="0084069B"/>
    <w:rsid w:val="00840F4D"/>
    <w:rsid w:val="00841949"/>
    <w:rsid w:val="00854C98"/>
    <w:rsid w:val="00857514"/>
    <w:rsid w:val="00857F35"/>
    <w:rsid w:val="00861808"/>
    <w:rsid w:val="0087037F"/>
    <w:rsid w:val="00872CBC"/>
    <w:rsid w:val="00873EA7"/>
    <w:rsid w:val="00874EA5"/>
    <w:rsid w:val="00883ADE"/>
    <w:rsid w:val="008862F2"/>
    <w:rsid w:val="008863DD"/>
    <w:rsid w:val="00895C1E"/>
    <w:rsid w:val="008A5042"/>
    <w:rsid w:val="008B083C"/>
    <w:rsid w:val="008B37E7"/>
    <w:rsid w:val="008C0943"/>
    <w:rsid w:val="008D039E"/>
    <w:rsid w:val="008D2E31"/>
    <w:rsid w:val="008E2838"/>
    <w:rsid w:val="00901998"/>
    <w:rsid w:val="0090236D"/>
    <w:rsid w:val="009031EA"/>
    <w:rsid w:val="00905134"/>
    <w:rsid w:val="00916683"/>
    <w:rsid w:val="009210C4"/>
    <w:rsid w:val="009216D2"/>
    <w:rsid w:val="00923161"/>
    <w:rsid w:val="009331D2"/>
    <w:rsid w:val="00943AA4"/>
    <w:rsid w:val="0095335B"/>
    <w:rsid w:val="009577FF"/>
    <w:rsid w:val="009740D3"/>
    <w:rsid w:val="00983DBD"/>
    <w:rsid w:val="00986188"/>
    <w:rsid w:val="00986CAB"/>
    <w:rsid w:val="00995909"/>
    <w:rsid w:val="009A28EC"/>
    <w:rsid w:val="009A38D2"/>
    <w:rsid w:val="009A3FD7"/>
    <w:rsid w:val="009A589A"/>
    <w:rsid w:val="009A65F7"/>
    <w:rsid w:val="009B5D4E"/>
    <w:rsid w:val="009C399F"/>
    <w:rsid w:val="009D2E54"/>
    <w:rsid w:val="009D5218"/>
    <w:rsid w:val="009D531E"/>
    <w:rsid w:val="009D7200"/>
    <w:rsid w:val="009D7977"/>
    <w:rsid w:val="009E4AA6"/>
    <w:rsid w:val="009E5DAA"/>
    <w:rsid w:val="009F6299"/>
    <w:rsid w:val="009F7FE6"/>
    <w:rsid w:val="00A02E5C"/>
    <w:rsid w:val="00A040FD"/>
    <w:rsid w:val="00A32EF8"/>
    <w:rsid w:val="00A3321C"/>
    <w:rsid w:val="00A3466D"/>
    <w:rsid w:val="00A34B2D"/>
    <w:rsid w:val="00A359DD"/>
    <w:rsid w:val="00A37ABD"/>
    <w:rsid w:val="00A41602"/>
    <w:rsid w:val="00A4272C"/>
    <w:rsid w:val="00A433F8"/>
    <w:rsid w:val="00A44ADB"/>
    <w:rsid w:val="00A46DB6"/>
    <w:rsid w:val="00A77CB8"/>
    <w:rsid w:val="00A8443D"/>
    <w:rsid w:val="00A93B8F"/>
    <w:rsid w:val="00AA0988"/>
    <w:rsid w:val="00AA5F02"/>
    <w:rsid w:val="00AB4490"/>
    <w:rsid w:val="00AB4B85"/>
    <w:rsid w:val="00AC14D3"/>
    <w:rsid w:val="00AC2184"/>
    <w:rsid w:val="00AC485F"/>
    <w:rsid w:val="00AD3858"/>
    <w:rsid w:val="00AD3B7A"/>
    <w:rsid w:val="00AE6E5C"/>
    <w:rsid w:val="00AF585F"/>
    <w:rsid w:val="00B025D8"/>
    <w:rsid w:val="00B052D3"/>
    <w:rsid w:val="00B13988"/>
    <w:rsid w:val="00B13C37"/>
    <w:rsid w:val="00B15274"/>
    <w:rsid w:val="00B15DD8"/>
    <w:rsid w:val="00B16F69"/>
    <w:rsid w:val="00B311C3"/>
    <w:rsid w:val="00B42F82"/>
    <w:rsid w:val="00B510A9"/>
    <w:rsid w:val="00B845A7"/>
    <w:rsid w:val="00B874CD"/>
    <w:rsid w:val="00B9381F"/>
    <w:rsid w:val="00B95F4A"/>
    <w:rsid w:val="00BA147F"/>
    <w:rsid w:val="00BB1400"/>
    <w:rsid w:val="00BB145B"/>
    <w:rsid w:val="00BB25C2"/>
    <w:rsid w:val="00BB7E59"/>
    <w:rsid w:val="00BC4EB5"/>
    <w:rsid w:val="00BC5445"/>
    <w:rsid w:val="00BD480F"/>
    <w:rsid w:val="00BD5B44"/>
    <w:rsid w:val="00BD700A"/>
    <w:rsid w:val="00BD79A1"/>
    <w:rsid w:val="00BE7A0C"/>
    <w:rsid w:val="00BF2A24"/>
    <w:rsid w:val="00BF5456"/>
    <w:rsid w:val="00C001CD"/>
    <w:rsid w:val="00C02BCF"/>
    <w:rsid w:val="00C046D6"/>
    <w:rsid w:val="00C112DE"/>
    <w:rsid w:val="00C1149D"/>
    <w:rsid w:val="00C13712"/>
    <w:rsid w:val="00C20F75"/>
    <w:rsid w:val="00C2462B"/>
    <w:rsid w:val="00C249BB"/>
    <w:rsid w:val="00C34655"/>
    <w:rsid w:val="00C348A4"/>
    <w:rsid w:val="00C35E9A"/>
    <w:rsid w:val="00C436F4"/>
    <w:rsid w:val="00C563BF"/>
    <w:rsid w:val="00C61588"/>
    <w:rsid w:val="00C62E6D"/>
    <w:rsid w:val="00C760DE"/>
    <w:rsid w:val="00C906A4"/>
    <w:rsid w:val="00C91CFA"/>
    <w:rsid w:val="00C94C97"/>
    <w:rsid w:val="00C95BE8"/>
    <w:rsid w:val="00C96B7D"/>
    <w:rsid w:val="00CA094F"/>
    <w:rsid w:val="00CB2514"/>
    <w:rsid w:val="00CC680C"/>
    <w:rsid w:val="00CD2975"/>
    <w:rsid w:val="00CE24A3"/>
    <w:rsid w:val="00CE4A26"/>
    <w:rsid w:val="00D1038F"/>
    <w:rsid w:val="00D24087"/>
    <w:rsid w:val="00D30ADF"/>
    <w:rsid w:val="00D334A8"/>
    <w:rsid w:val="00D47059"/>
    <w:rsid w:val="00D638E2"/>
    <w:rsid w:val="00D669F8"/>
    <w:rsid w:val="00D71118"/>
    <w:rsid w:val="00D72F5B"/>
    <w:rsid w:val="00D817EE"/>
    <w:rsid w:val="00DA01AA"/>
    <w:rsid w:val="00DA3CD7"/>
    <w:rsid w:val="00DA3E28"/>
    <w:rsid w:val="00DA613F"/>
    <w:rsid w:val="00DC3169"/>
    <w:rsid w:val="00DD073A"/>
    <w:rsid w:val="00DD17F2"/>
    <w:rsid w:val="00DF0FD8"/>
    <w:rsid w:val="00DF65EE"/>
    <w:rsid w:val="00E10FC4"/>
    <w:rsid w:val="00E11FAE"/>
    <w:rsid w:val="00E131E0"/>
    <w:rsid w:val="00E13F2E"/>
    <w:rsid w:val="00E34A14"/>
    <w:rsid w:val="00E360FB"/>
    <w:rsid w:val="00E443B3"/>
    <w:rsid w:val="00E47E6F"/>
    <w:rsid w:val="00E47F8A"/>
    <w:rsid w:val="00E55BB2"/>
    <w:rsid w:val="00E669FD"/>
    <w:rsid w:val="00E67F06"/>
    <w:rsid w:val="00E708B8"/>
    <w:rsid w:val="00E76E34"/>
    <w:rsid w:val="00E9158B"/>
    <w:rsid w:val="00E97EB9"/>
    <w:rsid w:val="00EA0396"/>
    <w:rsid w:val="00EA157B"/>
    <w:rsid w:val="00EB0411"/>
    <w:rsid w:val="00EC0E87"/>
    <w:rsid w:val="00EC5093"/>
    <w:rsid w:val="00EE0DC5"/>
    <w:rsid w:val="00EE1967"/>
    <w:rsid w:val="00F00665"/>
    <w:rsid w:val="00F02A7C"/>
    <w:rsid w:val="00F0455A"/>
    <w:rsid w:val="00F13D33"/>
    <w:rsid w:val="00F567B9"/>
    <w:rsid w:val="00F8252C"/>
    <w:rsid w:val="00FB5544"/>
    <w:rsid w:val="00FB70EE"/>
    <w:rsid w:val="00FB7D77"/>
    <w:rsid w:val="00FC1B2E"/>
    <w:rsid w:val="00FC5828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10A72E8"/>
  <w15:chartTrackingRefBased/>
  <w15:docId w15:val="{48440D09-540E-4193-B9C2-40C0B611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6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8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62BA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62BAB"/>
  </w:style>
  <w:style w:type="paragraph" w:styleId="Textedebulles">
    <w:name w:val="Balloon Text"/>
    <w:basedOn w:val="Normal"/>
    <w:semiHidden/>
    <w:rsid w:val="00385893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55720E"/>
    <w:rPr>
      <w:b/>
      <w:bCs/>
    </w:rPr>
  </w:style>
  <w:style w:type="character" w:styleId="Appelnotedebasdep">
    <w:name w:val="footnote reference"/>
    <w:semiHidden/>
    <w:rsid w:val="0055720E"/>
    <w:rPr>
      <w:vertAlign w:val="superscript"/>
    </w:rPr>
  </w:style>
  <w:style w:type="paragraph" w:styleId="NormalWeb">
    <w:name w:val="Normal (Web)"/>
    <w:basedOn w:val="Normal"/>
    <w:uiPriority w:val="99"/>
    <w:rsid w:val="0055720E"/>
    <w:pPr>
      <w:spacing w:before="100" w:beforeAutospacing="1" w:after="100" w:afterAutospacing="1"/>
    </w:pPr>
    <w:rPr>
      <w:rFonts w:ascii="Trebuchet MS" w:hAnsi="Trebuchet MS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277F3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rsid w:val="00873EA7"/>
    <w:rPr>
      <w:sz w:val="16"/>
      <w:szCs w:val="16"/>
    </w:rPr>
  </w:style>
  <w:style w:type="paragraph" w:styleId="Commentaire">
    <w:name w:val="annotation text"/>
    <w:basedOn w:val="Normal"/>
    <w:link w:val="CommentaireCar"/>
    <w:rsid w:val="00873EA7"/>
    <w:rPr>
      <w:sz w:val="20"/>
    </w:rPr>
  </w:style>
  <w:style w:type="character" w:customStyle="1" w:styleId="CommentaireCar">
    <w:name w:val="Commentaire Car"/>
    <w:basedOn w:val="Policepardfaut"/>
    <w:link w:val="Commentaire"/>
    <w:rsid w:val="00873EA7"/>
  </w:style>
  <w:style w:type="paragraph" w:styleId="Objetducommentaire">
    <w:name w:val="annotation subject"/>
    <w:basedOn w:val="Commentaire"/>
    <w:next w:val="Commentaire"/>
    <w:link w:val="ObjetducommentaireCar"/>
    <w:rsid w:val="00873EA7"/>
    <w:rPr>
      <w:b/>
      <w:bCs/>
    </w:rPr>
  </w:style>
  <w:style w:type="character" w:customStyle="1" w:styleId="ObjetducommentaireCar">
    <w:name w:val="Objet du commentaire Car"/>
    <w:link w:val="Objetducommentaire"/>
    <w:rsid w:val="00873EA7"/>
    <w:rPr>
      <w:b/>
      <w:bCs/>
    </w:rPr>
  </w:style>
  <w:style w:type="paragraph" w:styleId="En-tte">
    <w:name w:val="header"/>
    <w:basedOn w:val="Normal"/>
    <w:link w:val="En-tteCar"/>
    <w:rsid w:val="00B13C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13C37"/>
    <w:rPr>
      <w:sz w:val="24"/>
    </w:rPr>
  </w:style>
  <w:style w:type="character" w:customStyle="1" w:styleId="PieddepageCar">
    <w:name w:val="Pied de page Car"/>
    <w:link w:val="Pieddepage"/>
    <w:uiPriority w:val="99"/>
    <w:rsid w:val="00B13C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1035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FOIRE AUX QUESTIONS (FAQ)</vt:lpstr>
    </vt:vector>
  </TitlesOfParts>
  <Company>Ministère de la Santé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FOIRE AUX QUESTIONS (FAQ)</dc:title>
  <dc:subject/>
  <dc:creator>cdelcour</dc:creator>
  <cp:keywords/>
  <cp:lastModifiedBy>MELCHIORRE, Thomas (ARS-HDF)</cp:lastModifiedBy>
  <cp:revision>3</cp:revision>
  <cp:lastPrinted>2022-11-10T12:19:00Z</cp:lastPrinted>
  <dcterms:created xsi:type="dcterms:W3CDTF">2024-04-02T09:19:00Z</dcterms:created>
  <dcterms:modified xsi:type="dcterms:W3CDTF">2024-04-02T15:44:00Z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-1820484353</vt:i4>
  </property>
</Properties>
</file>